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CB5991" w14:textId="71E2C4ED" w:rsidR="00D54B54" w:rsidRPr="00ED4C86" w:rsidRDefault="00D54B54" w:rsidP="00D54B54">
      <w:pPr>
        <w:tabs>
          <w:tab w:val="right" w:pos="9360"/>
        </w:tabs>
        <w:rPr>
          <w:b/>
        </w:rPr>
      </w:pPr>
      <w:r w:rsidRPr="00710A29">
        <w:rPr>
          <w:noProof/>
          <w:highlight w:val="yellow"/>
        </w:rPr>
        <mc:AlternateContent>
          <mc:Choice Requires="wps">
            <w:drawing>
              <wp:anchor distT="0" distB="0" distL="114300" distR="114300" simplePos="0" relativeHeight="251654144" behindDoc="1" locked="1" layoutInCell="1" allowOverlap="1" wp14:anchorId="70D99551" wp14:editId="66423F75">
                <wp:simplePos x="0" y="0"/>
                <wp:positionH relativeFrom="page">
                  <wp:posOffset>685800</wp:posOffset>
                </wp:positionH>
                <wp:positionV relativeFrom="page">
                  <wp:posOffset>548640</wp:posOffset>
                </wp:positionV>
                <wp:extent cx="6455410" cy="8881110"/>
                <wp:effectExtent l="19050" t="19050" r="21590" b="15240"/>
                <wp:wrapNone/>
                <wp:docPr id="20" name="Rectangle 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455410" cy="8881110"/>
                        </a:xfrm>
                        <a:prstGeom prst="rect">
                          <a:avLst/>
                        </a:prstGeom>
                        <a:noFill/>
                        <a:ln w="57150" cmpd="thickThin">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86E8654" w14:textId="77777777" w:rsidR="00657756" w:rsidRPr="00517498" w:rsidRDefault="00657756" w:rsidP="00D54B54">
                            <w:pPr>
                              <w:rPr>
                                <w:b/>
                              </w:rPr>
                            </w:pP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70D99551" id="Rectangle 55" o:spid="_x0000_s1026" style="position:absolute;margin-left:54pt;margin-top:43.2pt;width:508.3pt;height:699.3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" filled="f" strokeweight="4.5pt">
                <v:stroke linestyle="thickThin"/>
                <o:lock v:ext="edit" aspectratio="t"/>
                <v:textbox>
                  <w:txbxContent>
                    <w:p w14:paraId="586E8654" w14:textId="77777777" w:rsidR="00657756" w:rsidRPr="00517498" w:rsidRDefault="00657756" w:rsidP="00D54B54">
                      <w:pPr>
                        <w:rPr>
                          <w:b/>
                        </w:rPr>
                      </w:pPr>
                    </w:p>
                  </w:txbxContent>
                </v:textbox>
                <w10:wrap anchorx="page" anchory="page"/>
                <w10:anchorlock/>
              </v:rect>
            </w:pict>
          </mc:Fallback>
        </mc:AlternateContent>
      </w:r>
    </w:p>
    <w:p w14:paraId="3B37F07C" w14:textId="77777777" w:rsidR="00D54B54" w:rsidRDefault="00D54B54" w:rsidP="00D54B54">
      <w:pPr>
        <w:jc w:val="center"/>
        <w:rPr>
          <w:b/>
        </w:rPr>
      </w:pPr>
      <w:proofErr w:type="spellStart"/>
      <w:r w:rsidRPr="00ED4C86">
        <w:rPr>
          <w:b/>
          <w:sz w:val="24"/>
          <w:szCs w:val="24"/>
        </w:rPr>
        <w:t>SOAH</w:t>
      </w:r>
      <w:proofErr w:type="spellEnd"/>
      <w:r w:rsidRPr="00ED4C86">
        <w:rPr>
          <w:b/>
          <w:sz w:val="24"/>
          <w:szCs w:val="24"/>
        </w:rPr>
        <w:t xml:space="preserve"> DOCKET NO. </w:t>
      </w:r>
      <w:r>
        <w:rPr>
          <w:b/>
        </w:rPr>
        <w:t>473-21-2606</w:t>
      </w:r>
    </w:p>
    <w:p w14:paraId="6C119298" w14:textId="77777777" w:rsidR="00D54B54" w:rsidRPr="00ED4C86" w:rsidRDefault="00D54B54" w:rsidP="00D54B54">
      <w:pPr>
        <w:jc w:val="center"/>
        <w:rPr>
          <w:b/>
          <w:sz w:val="24"/>
        </w:rPr>
      </w:pPr>
      <w:r w:rsidRPr="00ED4C86">
        <w:rPr>
          <w:b/>
          <w:sz w:val="24"/>
          <w:szCs w:val="24"/>
        </w:rPr>
        <w:t xml:space="preserve">PUC DOCKET NO. </w:t>
      </w:r>
      <w:r>
        <w:rPr>
          <w:b/>
          <w:sz w:val="24"/>
          <w:szCs w:val="24"/>
        </w:rPr>
        <w:t>52195</w:t>
      </w:r>
    </w:p>
    <w:p w14:paraId="7931D158" w14:textId="77777777" w:rsidR="00D54B54" w:rsidRPr="00ED4C86" w:rsidRDefault="00D54B54" w:rsidP="00D54B54">
      <w:pPr>
        <w:jc w:val="center"/>
      </w:pPr>
    </w:p>
    <w:p w14:paraId="07390E30" w14:textId="77777777" w:rsidR="00D54B54" w:rsidRPr="00ED4C86" w:rsidRDefault="00D54B54" w:rsidP="00D54B54">
      <w:pPr>
        <w:jc w:val="center"/>
      </w:pPr>
    </w:p>
    <w:tbl>
      <w:tblPr>
        <w:tblW w:w="8486" w:type="dxa"/>
        <w:tblInd w:w="558" w:type="dxa"/>
        <w:tblLook w:val="0000" w:firstRow="0" w:lastRow="0" w:firstColumn="0" w:lastColumn="0" w:noHBand="0" w:noVBand="0"/>
      </w:tblPr>
      <w:tblGrid>
        <w:gridCol w:w="4032"/>
        <w:gridCol w:w="296"/>
        <w:gridCol w:w="4158"/>
      </w:tblGrid>
      <w:tr w:rsidR="00D54B54" w14:paraId="5FD751DC" w14:textId="77777777" w:rsidTr="006435B1">
        <w:tc>
          <w:tcPr>
            <w:tcW w:w="4032" w:type="dxa"/>
            <w:tcBorders>
              <w:top w:val="single" w:sz="4" w:space="0" w:color="auto"/>
              <w:bottom w:val="single" w:sz="4" w:space="0" w:color="auto"/>
            </w:tcBorders>
          </w:tcPr>
          <w:p w14:paraId="32E20C99" w14:textId="77777777" w:rsidR="00D54B54" w:rsidRPr="00ED4C86" w:rsidRDefault="00D54B54" w:rsidP="006435B1">
            <w:pPr>
              <w:jc w:val="center"/>
              <w:rPr>
                <w:rFonts w:cs="Arial"/>
                <w:b/>
                <w:sz w:val="24"/>
                <w:szCs w:val="24"/>
              </w:rPr>
            </w:pPr>
          </w:p>
          <w:p w14:paraId="250A1629" w14:textId="77777777" w:rsidR="00D54B54" w:rsidRPr="00ED4C86" w:rsidRDefault="00D54B54" w:rsidP="006435B1">
            <w:pPr>
              <w:rPr>
                <w:b/>
                <w:sz w:val="24"/>
                <w:szCs w:val="24"/>
              </w:rPr>
            </w:pPr>
            <w:r w:rsidRPr="00ED4C86">
              <w:rPr>
                <w:b/>
                <w:sz w:val="24"/>
                <w:szCs w:val="24"/>
              </w:rPr>
              <w:t xml:space="preserve">APPLICATION OF </w:t>
            </w:r>
            <w:r>
              <w:rPr>
                <w:b/>
                <w:sz w:val="24"/>
                <w:szCs w:val="24"/>
              </w:rPr>
              <w:t>EL PASO ELECTRIC COMPANY</w:t>
            </w:r>
            <w:r w:rsidRPr="00ED4C86">
              <w:rPr>
                <w:b/>
                <w:sz w:val="24"/>
                <w:szCs w:val="24"/>
              </w:rPr>
              <w:t xml:space="preserve"> TO CHANGE RATES </w:t>
            </w:r>
          </w:p>
        </w:tc>
        <w:tc>
          <w:tcPr>
            <w:tcW w:w="296" w:type="dxa"/>
          </w:tcPr>
          <w:p w14:paraId="0F00EECD" w14:textId="77777777" w:rsidR="00D54B54" w:rsidRPr="00ED4C86" w:rsidRDefault="00D54B54" w:rsidP="006435B1">
            <w:pPr>
              <w:jc w:val="center"/>
              <w:rPr>
                <w:b/>
                <w:sz w:val="24"/>
                <w:szCs w:val="24"/>
              </w:rPr>
            </w:pPr>
            <w:r w:rsidRPr="00ED4C86">
              <w:rPr>
                <w:b/>
                <w:sz w:val="24"/>
                <w:szCs w:val="24"/>
              </w:rPr>
              <w:t>)</w:t>
            </w:r>
          </w:p>
          <w:p w14:paraId="31D5E206" w14:textId="77777777" w:rsidR="00D54B54" w:rsidRPr="00ED4C86" w:rsidRDefault="00D54B54" w:rsidP="006435B1">
            <w:pPr>
              <w:jc w:val="center"/>
              <w:rPr>
                <w:b/>
                <w:sz w:val="24"/>
                <w:szCs w:val="24"/>
              </w:rPr>
            </w:pPr>
            <w:r w:rsidRPr="00ED4C86">
              <w:rPr>
                <w:b/>
                <w:sz w:val="24"/>
                <w:szCs w:val="24"/>
              </w:rPr>
              <w:t>)</w:t>
            </w:r>
          </w:p>
          <w:p w14:paraId="754CD8D1" w14:textId="77777777" w:rsidR="00D54B54" w:rsidRPr="00ED4C86" w:rsidRDefault="00D54B54" w:rsidP="006435B1">
            <w:pPr>
              <w:jc w:val="center"/>
              <w:rPr>
                <w:b/>
                <w:sz w:val="24"/>
                <w:szCs w:val="24"/>
              </w:rPr>
            </w:pPr>
            <w:r w:rsidRPr="00ED4C86">
              <w:rPr>
                <w:b/>
                <w:sz w:val="24"/>
                <w:szCs w:val="24"/>
              </w:rPr>
              <w:t>)</w:t>
            </w:r>
          </w:p>
          <w:p w14:paraId="2026C58F" w14:textId="77777777" w:rsidR="00D54B54" w:rsidRPr="00ED4C86" w:rsidRDefault="00D54B54" w:rsidP="006435B1">
            <w:pPr>
              <w:jc w:val="center"/>
              <w:rPr>
                <w:b/>
                <w:sz w:val="24"/>
                <w:szCs w:val="24"/>
              </w:rPr>
            </w:pPr>
            <w:r w:rsidRPr="00ED4C86">
              <w:rPr>
                <w:b/>
                <w:sz w:val="24"/>
                <w:szCs w:val="24"/>
              </w:rPr>
              <w:t>)</w:t>
            </w:r>
          </w:p>
        </w:tc>
        <w:tc>
          <w:tcPr>
            <w:tcW w:w="4158" w:type="dxa"/>
          </w:tcPr>
          <w:p w14:paraId="0A75CDB4" w14:textId="77777777" w:rsidR="00D54B54" w:rsidRPr="00ED4C86" w:rsidRDefault="00D54B54" w:rsidP="006435B1">
            <w:pPr>
              <w:jc w:val="center"/>
              <w:rPr>
                <w:b/>
                <w:sz w:val="24"/>
                <w:szCs w:val="24"/>
              </w:rPr>
            </w:pPr>
          </w:p>
          <w:p w14:paraId="64612231" w14:textId="77777777" w:rsidR="00D54B54" w:rsidRDefault="00D54B54" w:rsidP="006435B1">
            <w:pPr>
              <w:jc w:val="center"/>
              <w:rPr>
                <w:b/>
                <w:sz w:val="24"/>
                <w:szCs w:val="24"/>
              </w:rPr>
            </w:pPr>
            <w:r w:rsidRPr="00ED4C86">
              <w:rPr>
                <w:b/>
                <w:sz w:val="24"/>
                <w:szCs w:val="24"/>
              </w:rPr>
              <w:t>BEFORE THE</w:t>
            </w:r>
            <w:r>
              <w:rPr>
                <w:b/>
                <w:sz w:val="24"/>
                <w:szCs w:val="24"/>
              </w:rPr>
              <w:t xml:space="preserve"> STATE OFFICE</w:t>
            </w:r>
          </w:p>
          <w:p w14:paraId="7D69ADA7" w14:textId="77777777" w:rsidR="00D54B54" w:rsidRDefault="00D54B54" w:rsidP="006435B1">
            <w:pPr>
              <w:jc w:val="center"/>
              <w:rPr>
                <w:b/>
                <w:sz w:val="24"/>
                <w:szCs w:val="24"/>
              </w:rPr>
            </w:pPr>
            <w:r>
              <w:rPr>
                <w:b/>
                <w:sz w:val="24"/>
                <w:szCs w:val="24"/>
              </w:rPr>
              <w:t>OF</w:t>
            </w:r>
          </w:p>
          <w:p w14:paraId="5A37E989" w14:textId="77777777" w:rsidR="00D54B54" w:rsidRPr="00ED4C86" w:rsidRDefault="00D54B54" w:rsidP="006435B1">
            <w:pPr>
              <w:jc w:val="center"/>
              <w:rPr>
                <w:b/>
                <w:sz w:val="24"/>
                <w:szCs w:val="24"/>
              </w:rPr>
            </w:pPr>
            <w:r>
              <w:rPr>
                <w:b/>
                <w:sz w:val="24"/>
                <w:szCs w:val="24"/>
              </w:rPr>
              <w:t>ADMINISTRATIVE HEARINGS</w:t>
            </w:r>
          </w:p>
          <w:p w14:paraId="2E070F00" w14:textId="77777777" w:rsidR="00D54B54" w:rsidRPr="00ED4C86" w:rsidRDefault="00D54B54" w:rsidP="006435B1">
            <w:pPr>
              <w:jc w:val="center"/>
              <w:rPr>
                <w:b/>
                <w:szCs w:val="24"/>
              </w:rPr>
            </w:pPr>
          </w:p>
        </w:tc>
      </w:tr>
    </w:tbl>
    <w:p w14:paraId="626C3D1C" w14:textId="77777777" w:rsidR="00D54B54" w:rsidRPr="00ED4C86" w:rsidRDefault="00D54B54" w:rsidP="00D54B54">
      <w:pPr>
        <w:jc w:val="both"/>
        <w:rPr>
          <w:szCs w:val="22"/>
        </w:rPr>
      </w:pPr>
      <w:r w:rsidRPr="00ED4C86">
        <w:rPr>
          <w:szCs w:val="22"/>
        </w:rPr>
        <w:t xml:space="preserve"> </w:t>
      </w:r>
    </w:p>
    <w:p w14:paraId="6D71535B" w14:textId="77777777" w:rsidR="00D54B54" w:rsidRPr="00ED4C86" w:rsidRDefault="00D54B54" w:rsidP="00D54B54">
      <w:pPr>
        <w:jc w:val="both"/>
        <w:rPr>
          <w:szCs w:val="22"/>
        </w:rPr>
      </w:pPr>
    </w:p>
    <w:p w14:paraId="2F97B163" w14:textId="77777777" w:rsidR="00D54B54" w:rsidRPr="00ED4C86" w:rsidRDefault="00D54B54" w:rsidP="00D54B54">
      <w:pPr>
        <w:jc w:val="center"/>
        <w:rPr>
          <w:b/>
          <w:szCs w:val="24"/>
        </w:rPr>
      </w:pPr>
    </w:p>
    <w:p w14:paraId="697CE905" w14:textId="77777777" w:rsidR="00D54B54" w:rsidRPr="00ED4C86" w:rsidRDefault="00D54B54" w:rsidP="00D54B54">
      <w:pPr>
        <w:jc w:val="center"/>
        <w:rPr>
          <w:sz w:val="20"/>
        </w:rPr>
      </w:pPr>
    </w:p>
    <w:p w14:paraId="78045EA6" w14:textId="77777777" w:rsidR="00D54B54" w:rsidRPr="00ED4C86" w:rsidRDefault="00D54B54" w:rsidP="00D54B54">
      <w:pPr>
        <w:jc w:val="center"/>
        <w:rPr>
          <w:sz w:val="20"/>
        </w:rPr>
      </w:pPr>
    </w:p>
    <w:p w14:paraId="5AAFED7B" w14:textId="77777777" w:rsidR="00D54B54" w:rsidRPr="00ED4C86" w:rsidRDefault="00D54B54" w:rsidP="00D54B54">
      <w:pPr>
        <w:jc w:val="center"/>
        <w:rPr>
          <w:sz w:val="20"/>
        </w:rPr>
      </w:pPr>
    </w:p>
    <w:p w14:paraId="2A36662B" w14:textId="77777777" w:rsidR="00D54B54" w:rsidRPr="00ED4C86" w:rsidRDefault="00D54B54" w:rsidP="00D54B54">
      <w:pPr>
        <w:jc w:val="center"/>
        <w:rPr>
          <w:sz w:val="20"/>
        </w:rPr>
      </w:pPr>
    </w:p>
    <w:p w14:paraId="03FA5B56" w14:textId="77777777" w:rsidR="00D54B54" w:rsidRPr="00ED4C86" w:rsidRDefault="00D54B54" w:rsidP="00D54B54">
      <w:pPr>
        <w:jc w:val="center"/>
        <w:rPr>
          <w:sz w:val="20"/>
        </w:rPr>
      </w:pPr>
    </w:p>
    <w:p w14:paraId="368EB24F" w14:textId="77777777" w:rsidR="00D54B54" w:rsidRPr="00ED4C86" w:rsidRDefault="00D54B54" w:rsidP="00D54B54">
      <w:pPr>
        <w:jc w:val="center"/>
        <w:rPr>
          <w:sz w:val="20"/>
        </w:rPr>
      </w:pPr>
      <w:r w:rsidRPr="00ED4C86">
        <w:rPr>
          <w:sz w:val="20"/>
        </w:rPr>
        <w:t>Direct Testimony and Exhibits of</w:t>
      </w:r>
    </w:p>
    <w:p w14:paraId="1B5B3FCB" w14:textId="77777777" w:rsidR="00D54B54" w:rsidRPr="00ED4C86" w:rsidRDefault="00D54B54" w:rsidP="00D54B54">
      <w:pPr>
        <w:jc w:val="center"/>
        <w:rPr>
          <w:sz w:val="20"/>
        </w:rPr>
      </w:pPr>
    </w:p>
    <w:p w14:paraId="16AAFFFA" w14:textId="77777777" w:rsidR="00D54B54" w:rsidRPr="00ED4C86" w:rsidRDefault="00D54B54" w:rsidP="00D54B54">
      <w:pPr>
        <w:jc w:val="center"/>
      </w:pPr>
      <w:r w:rsidRPr="00ED4C86">
        <w:rPr>
          <w:b/>
          <w:sz w:val="24"/>
          <w:szCs w:val="24"/>
        </w:rPr>
        <w:t>Michael P. Gorman</w:t>
      </w:r>
    </w:p>
    <w:p w14:paraId="392ADA42" w14:textId="77777777" w:rsidR="00D54B54" w:rsidRPr="00ED4C86" w:rsidRDefault="00D54B54" w:rsidP="00D54B54">
      <w:pPr>
        <w:jc w:val="center"/>
        <w:rPr>
          <w:szCs w:val="22"/>
        </w:rPr>
      </w:pPr>
    </w:p>
    <w:p w14:paraId="3C03F7E9" w14:textId="77777777" w:rsidR="00D54B54" w:rsidRPr="00ED4C86" w:rsidRDefault="00D54B54" w:rsidP="00D54B54">
      <w:pPr>
        <w:jc w:val="center"/>
        <w:rPr>
          <w:sz w:val="20"/>
        </w:rPr>
      </w:pPr>
    </w:p>
    <w:p w14:paraId="7F4A68A0" w14:textId="77777777" w:rsidR="00D54B54" w:rsidRPr="00ED4C86" w:rsidRDefault="00D54B54" w:rsidP="00D54B54">
      <w:pPr>
        <w:jc w:val="center"/>
        <w:rPr>
          <w:szCs w:val="22"/>
        </w:rPr>
      </w:pPr>
    </w:p>
    <w:p w14:paraId="649CD129" w14:textId="77777777" w:rsidR="00D54B54" w:rsidRPr="00ED4C86" w:rsidRDefault="00D54B54" w:rsidP="00D54B54">
      <w:pPr>
        <w:jc w:val="center"/>
        <w:rPr>
          <w:szCs w:val="22"/>
        </w:rPr>
      </w:pPr>
    </w:p>
    <w:p w14:paraId="6F1108A7" w14:textId="77777777" w:rsidR="00D54B54" w:rsidRPr="00ED4C86" w:rsidRDefault="00D54B54" w:rsidP="00D54B54">
      <w:pPr>
        <w:jc w:val="center"/>
        <w:rPr>
          <w:szCs w:val="22"/>
        </w:rPr>
      </w:pPr>
    </w:p>
    <w:p w14:paraId="7B85EB0C" w14:textId="77777777" w:rsidR="00D54B54" w:rsidRPr="00ED4C86" w:rsidRDefault="00D54B54" w:rsidP="00D54B54">
      <w:pPr>
        <w:jc w:val="center"/>
        <w:rPr>
          <w:sz w:val="20"/>
        </w:rPr>
      </w:pPr>
      <w:r w:rsidRPr="00ED4C86">
        <w:rPr>
          <w:sz w:val="20"/>
        </w:rPr>
        <w:t>On behalf of</w:t>
      </w:r>
    </w:p>
    <w:p w14:paraId="5B971947" w14:textId="77777777" w:rsidR="00D54B54" w:rsidRPr="00ED4C86" w:rsidRDefault="00D54B54" w:rsidP="00D54B54">
      <w:pPr>
        <w:jc w:val="center"/>
      </w:pPr>
    </w:p>
    <w:p w14:paraId="4EB1A49D" w14:textId="77777777" w:rsidR="00D54B54" w:rsidRPr="00ED4C86" w:rsidRDefault="00D54B54" w:rsidP="00D54B54">
      <w:pPr>
        <w:jc w:val="center"/>
        <w:rPr>
          <w:b/>
          <w:sz w:val="24"/>
        </w:rPr>
      </w:pPr>
      <w:r w:rsidRPr="00ED4C86">
        <w:rPr>
          <w:b/>
          <w:sz w:val="24"/>
        </w:rPr>
        <w:t>Texas Industrial Energy Consumers</w:t>
      </w:r>
    </w:p>
    <w:p w14:paraId="1005037D" w14:textId="77777777" w:rsidR="00D54B54" w:rsidRPr="00ED4C86" w:rsidRDefault="00D54B54" w:rsidP="00D54B54">
      <w:pPr>
        <w:jc w:val="center"/>
        <w:rPr>
          <w:szCs w:val="22"/>
        </w:rPr>
      </w:pPr>
    </w:p>
    <w:p w14:paraId="2B638DD4" w14:textId="77777777" w:rsidR="00D54B54" w:rsidRPr="00ED4C86" w:rsidRDefault="00D54B54" w:rsidP="00D54B54">
      <w:pPr>
        <w:jc w:val="center"/>
        <w:rPr>
          <w:szCs w:val="22"/>
        </w:rPr>
      </w:pPr>
    </w:p>
    <w:p w14:paraId="2544D96E" w14:textId="77777777" w:rsidR="00D54B54" w:rsidRPr="00ED4C86" w:rsidRDefault="00D54B54" w:rsidP="00D54B54">
      <w:pPr>
        <w:jc w:val="center"/>
        <w:rPr>
          <w:szCs w:val="22"/>
        </w:rPr>
      </w:pPr>
    </w:p>
    <w:p w14:paraId="5D561B83" w14:textId="77777777" w:rsidR="00D54B54" w:rsidRPr="00ED4C86" w:rsidRDefault="00D54B54" w:rsidP="00D54B54">
      <w:pPr>
        <w:jc w:val="center"/>
        <w:rPr>
          <w:sz w:val="20"/>
        </w:rPr>
      </w:pPr>
    </w:p>
    <w:p w14:paraId="25D7FF3F" w14:textId="77777777" w:rsidR="002948F2" w:rsidRPr="00ED4C86" w:rsidRDefault="002948F2" w:rsidP="002948F2">
      <w:pPr>
        <w:jc w:val="center"/>
        <w:rPr>
          <w:sz w:val="20"/>
        </w:rPr>
      </w:pPr>
    </w:p>
    <w:p w14:paraId="6A67E3C2" w14:textId="77777777" w:rsidR="002948F2" w:rsidRPr="00ED4C86" w:rsidRDefault="002948F2" w:rsidP="002948F2">
      <w:pPr>
        <w:jc w:val="center"/>
        <w:rPr>
          <w:sz w:val="20"/>
        </w:rPr>
      </w:pPr>
      <w:r>
        <w:rPr>
          <w:sz w:val="20"/>
        </w:rPr>
        <w:t>REDACTED</w:t>
      </w:r>
    </w:p>
    <w:p w14:paraId="2E9989D5" w14:textId="77777777" w:rsidR="002948F2" w:rsidRPr="00ED4C86" w:rsidRDefault="002948F2" w:rsidP="002948F2">
      <w:pPr>
        <w:jc w:val="center"/>
        <w:rPr>
          <w:szCs w:val="22"/>
        </w:rPr>
      </w:pPr>
    </w:p>
    <w:p w14:paraId="4BEC1F23" w14:textId="2F2BD1FA" w:rsidR="00D54B54" w:rsidRPr="00ED4C86" w:rsidRDefault="00D54B54" w:rsidP="00D54B54">
      <w:pPr>
        <w:jc w:val="center"/>
        <w:rPr>
          <w:szCs w:val="22"/>
        </w:rPr>
      </w:pPr>
    </w:p>
    <w:p w14:paraId="3C73503E" w14:textId="77777777" w:rsidR="00D54B54" w:rsidRDefault="00D54B54" w:rsidP="00D54B54">
      <w:pPr>
        <w:pStyle w:val="Header"/>
        <w:tabs>
          <w:tab w:val="clear" w:pos="8640"/>
        </w:tabs>
        <w:jc w:val="center"/>
        <w:rPr>
          <w:rStyle w:val="PageNumber"/>
          <w:b/>
          <w:sz w:val="20"/>
        </w:rPr>
      </w:pPr>
    </w:p>
    <w:p w14:paraId="2EDA1BCA" w14:textId="77777777" w:rsidR="00D54B54" w:rsidRPr="00ED4C86" w:rsidRDefault="00D54B54" w:rsidP="00D54B54">
      <w:pPr>
        <w:jc w:val="center"/>
        <w:rPr>
          <w:szCs w:val="22"/>
        </w:rPr>
      </w:pPr>
    </w:p>
    <w:p w14:paraId="0068CFE1" w14:textId="77777777" w:rsidR="00D54B54" w:rsidRPr="00ED4C86" w:rsidRDefault="00D54B54" w:rsidP="00D54B54">
      <w:pPr>
        <w:jc w:val="center"/>
        <w:rPr>
          <w:szCs w:val="22"/>
        </w:rPr>
      </w:pPr>
    </w:p>
    <w:p w14:paraId="4FFBA6C1" w14:textId="77777777" w:rsidR="00D54B54" w:rsidRPr="00ED4C86" w:rsidRDefault="00D54B54" w:rsidP="00D54B54">
      <w:pPr>
        <w:jc w:val="center"/>
        <w:rPr>
          <w:sz w:val="20"/>
        </w:rPr>
      </w:pPr>
    </w:p>
    <w:p w14:paraId="043926EA" w14:textId="77777777" w:rsidR="00D54B54" w:rsidRPr="00ED4C86" w:rsidRDefault="00D54B54" w:rsidP="00D54B54">
      <w:pPr>
        <w:jc w:val="center"/>
        <w:rPr>
          <w:sz w:val="20"/>
        </w:rPr>
      </w:pPr>
      <w:r>
        <w:rPr>
          <w:sz w:val="20"/>
        </w:rPr>
        <w:t>October 22, 2021</w:t>
      </w:r>
    </w:p>
    <w:p w14:paraId="1F9696FB" w14:textId="77777777" w:rsidR="00D54B54" w:rsidRPr="00ED4C86" w:rsidRDefault="00D54B54" w:rsidP="00D54B54">
      <w:pPr>
        <w:jc w:val="center"/>
        <w:rPr>
          <w:sz w:val="20"/>
        </w:rPr>
      </w:pPr>
      <w:r w:rsidRPr="00ED4C86">
        <w:rPr>
          <w:noProof/>
        </w:rPr>
        <mc:AlternateContent>
          <mc:Choice Requires="wps">
            <w:drawing>
              <wp:anchor distT="0" distB="0" distL="114300" distR="114300" simplePos="0" relativeHeight="251655168" behindDoc="0" locked="0" layoutInCell="1" allowOverlap="1" wp14:anchorId="16895AA0" wp14:editId="2E666DEA">
                <wp:simplePos x="0" y="0"/>
                <wp:positionH relativeFrom="column">
                  <wp:posOffset>28575</wp:posOffset>
                </wp:positionH>
                <wp:positionV relativeFrom="paragraph">
                  <wp:posOffset>1191260</wp:posOffset>
                </wp:positionV>
                <wp:extent cx="2019300" cy="628650"/>
                <wp:effectExtent l="0" t="0" r="19050" b="19050"/>
                <wp:wrapNone/>
                <wp:docPr id="19"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628650"/>
                        </a:xfrm>
                        <a:prstGeom prst="rect">
                          <a:avLst/>
                        </a:prstGeom>
                        <a:solidFill>
                          <a:srgbClr val="FFFFFF"/>
                        </a:solidFill>
                        <a:ln w="9525">
                          <a:solidFill>
                            <a:srgbClr val="FFFFFF"/>
                          </a:solidFill>
                          <a:miter lim="800000"/>
                          <a:headEnd/>
                          <a:tailEnd/>
                        </a:ln>
                      </wps:spPr>
                      <wps:txbx>
                        <w:txbxContent>
                          <w:p w14:paraId="7A7582FA" w14:textId="77777777" w:rsidR="00657756" w:rsidRDefault="00657756" w:rsidP="00D54B54">
                            <w:pPr>
                              <w:rPr>
                                <w:sz w:val="18"/>
                                <w:szCs w:val="18"/>
                              </w:rPr>
                            </w:pPr>
                            <w:proofErr w:type="spellStart"/>
                            <w:r>
                              <w:rPr>
                                <w:sz w:val="18"/>
                                <w:szCs w:val="18"/>
                              </w:rPr>
                              <w:t>SOAH</w:t>
                            </w:r>
                            <w:proofErr w:type="spellEnd"/>
                            <w:r>
                              <w:rPr>
                                <w:sz w:val="18"/>
                                <w:szCs w:val="18"/>
                              </w:rPr>
                              <w:t xml:space="preserve"> Docket No. </w:t>
                            </w:r>
                            <w:r>
                              <w:rPr>
                                <w:bCs/>
                                <w:sz w:val="18"/>
                                <w:szCs w:val="18"/>
                              </w:rPr>
                              <w:t>473-21-2606</w:t>
                            </w:r>
                          </w:p>
                          <w:p w14:paraId="092EAA6F" w14:textId="77777777" w:rsidR="00657756" w:rsidRDefault="00657756" w:rsidP="00D54B54">
                            <w:pPr>
                              <w:rPr>
                                <w:sz w:val="18"/>
                                <w:szCs w:val="18"/>
                              </w:rPr>
                            </w:pPr>
                            <w:r>
                              <w:rPr>
                                <w:sz w:val="18"/>
                                <w:szCs w:val="18"/>
                              </w:rPr>
                              <w:t>PUC Docket No. 52195</w:t>
                            </w:r>
                          </w:p>
                          <w:p w14:paraId="5E4D104E" w14:textId="77777777" w:rsidR="00657756" w:rsidRDefault="00657756" w:rsidP="00D54B54">
                            <w:pPr>
                              <w:rPr>
                                <w:sz w:val="18"/>
                                <w:szCs w:val="18"/>
                              </w:rPr>
                            </w:pPr>
                            <w:r>
                              <w:rPr>
                                <w:sz w:val="18"/>
                                <w:szCs w:val="18"/>
                              </w:rPr>
                              <w:t>Page 1</w:t>
                            </w:r>
                          </w:p>
                          <w:p w14:paraId="4D777214" w14:textId="77777777" w:rsidR="00657756" w:rsidRDefault="00657756" w:rsidP="00D54B54">
                            <w:pPr>
                              <w:rPr>
                                <w:sz w:val="18"/>
                                <w:szCs w:val="18"/>
                              </w:rPr>
                            </w:pP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type w14:anchorId="16895AA0" id="_x0000_t202" coordsize="21600,21600" o:spt="202" path="m,l,21600r21600,l21600,xe">
                <v:stroke joinstyle="miter"/>
                <v:path gradientshapeok="t" o:connecttype="rect"/>
              </v:shapetype>
              <v:shape id="Text Box 56" o:spid="_x0000_s1027" type="#_x0000_t202" style="position:absolute;left:0;text-align:left;margin-left:2.25pt;margin-top:93.8pt;width:159pt;height:4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" strokecolor="white">
                <v:textbox>
                  <w:txbxContent>
                    <w:p w14:paraId="7A7582FA" w14:textId="77777777" w:rsidR="00657756" w:rsidRDefault="00657756" w:rsidP="00D54B54">
                      <w:pPr>
                        <w:rPr>
                          <w:sz w:val="18"/>
                          <w:szCs w:val="18"/>
                        </w:rPr>
                      </w:pPr>
                      <w:r>
                        <w:rPr>
                          <w:sz w:val="18"/>
                          <w:szCs w:val="18"/>
                        </w:rPr>
                        <w:t xml:space="preserve">SOAH Docket No. </w:t>
                      </w:r>
                      <w:r>
                        <w:rPr>
                          <w:bCs/>
                          <w:sz w:val="18"/>
                          <w:szCs w:val="18"/>
                        </w:rPr>
                        <w:t>473-21-2606</w:t>
                      </w:r>
                    </w:p>
                    <w:p w14:paraId="092EAA6F" w14:textId="77777777" w:rsidR="00657756" w:rsidRDefault="00657756" w:rsidP="00D54B54">
                      <w:pPr>
                        <w:rPr>
                          <w:sz w:val="18"/>
                          <w:szCs w:val="18"/>
                        </w:rPr>
                      </w:pPr>
                      <w:r>
                        <w:rPr>
                          <w:sz w:val="18"/>
                          <w:szCs w:val="18"/>
                        </w:rPr>
                        <w:t>PUC Docket No. 52195</w:t>
                      </w:r>
                    </w:p>
                    <w:p w14:paraId="5E4D104E" w14:textId="77777777" w:rsidR="00657756" w:rsidRDefault="00657756" w:rsidP="00D54B54">
                      <w:pPr>
                        <w:rPr>
                          <w:sz w:val="18"/>
                          <w:szCs w:val="18"/>
                        </w:rPr>
                      </w:pPr>
                      <w:r>
                        <w:rPr>
                          <w:sz w:val="18"/>
                          <w:szCs w:val="18"/>
                        </w:rPr>
                        <w:t>Page 1</w:t>
                      </w:r>
                    </w:p>
                    <w:p w14:paraId="4D777214" w14:textId="77777777" w:rsidR="00657756" w:rsidRDefault="00657756" w:rsidP="00D54B54">
                      <w:pPr>
                        <w:rPr>
                          <w:sz w:val="18"/>
                          <w:szCs w:val="18"/>
                        </w:rPr>
                      </w:pPr>
                    </w:p>
                  </w:txbxContent>
                </v:textbox>
              </v:shape>
            </w:pict>
          </mc:Fallback>
        </mc:AlternateContent>
      </w:r>
      <w:r w:rsidRPr="00ED4C86">
        <w:rPr>
          <w:noProof/>
        </w:rPr>
        <mc:AlternateContent>
          <mc:Choice Requires="wps">
            <w:drawing>
              <wp:anchor distT="0" distB="0" distL="114300" distR="114300" simplePos="0" relativeHeight="251656192" behindDoc="0" locked="0" layoutInCell="1" allowOverlap="1" wp14:anchorId="2A936FEB" wp14:editId="75394FE7">
                <wp:simplePos x="0" y="0"/>
                <wp:positionH relativeFrom="column">
                  <wp:posOffset>2118360</wp:posOffset>
                </wp:positionH>
                <wp:positionV relativeFrom="page">
                  <wp:posOffset>9097010</wp:posOffset>
                </wp:positionV>
                <wp:extent cx="1729740" cy="257810"/>
                <wp:effectExtent l="0" t="0" r="0" b="8890"/>
                <wp:wrapNone/>
                <wp:docPr id="18"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9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C13CB5" w14:textId="77777777" w:rsidR="00657756" w:rsidRDefault="00657756" w:rsidP="00D54B54">
                            <w:pPr>
                              <w:jc w:val="center"/>
                              <w:rPr>
                                <w:sz w:val="16"/>
                                <w:szCs w:val="16"/>
                              </w:rPr>
                            </w:pP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 w14:anchorId="2A936FEB" id="Text Box 57" o:spid="_x0000_s1028" type="#_x0000_t202" style="position:absolute;left:0;text-align:left;margin-left:166.8pt;margin-top:716.3pt;width:136.2pt;height:20.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" filled="f" stroked="f">
                <v:textbox>
                  <w:txbxContent>
                    <w:p w14:paraId="10C13CB5" w14:textId="77777777" w:rsidR="00657756" w:rsidRDefault="00657756" w:rsidP="00D54B54">
                      <w:pPr>
                        <w:jc w:val="center"/>
                        <w:rPr>
                          <w:sz w:val="16"/>
                          <w:szCs w:val="16"/>
                        </w:rPr>
                      </w:pPr>
                    </w:p>
                  </w:txbxContent>
                </v:textbox>
                <w10:wrap anchory="page"/>
              </v:shape>
            </w:pict>
          </mc:Fallback>
        </mc:AlternateContent>
      </w:r>
      <w:r w:rsidR="00BE2C24">
        <w:rPr>
          <w:sz w:val="20"/>
        </w:rPr>
        <w:object w:dxaOrig="1440" w:dyaOrig="1440" w14:anchorId="028E0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220.3pt;margin-top:629.3pt;width:162.3pt;height:67.2pt;z-index:-251655168;visibility:visible;mso-wrap-edited:f;mso-position-horizontal-relative:page;mso-position-vertical-relative:page">
            <v:imagedata r:id="rId8" o:title="" croptop="4804f" cropbottom="31949f" cropright="2186f"/>
            <w10:wrap anchorx="page" anchory="page"/>
          </v:shape>
          <o:OLEObject Type="Embed" ProgID="Word.Picture.8" ShapeID="_x0000_s1029" DrawAspect="Content" ObjectID="_1696409113" r:id="rId9"/>
        </w:object>
      </w:r>
    </w:p>
    <w:p w14:paraId="6F2AE8F5" w14:textId="77777777" w:rsidR="00D54B54" w:rsidRPr="00ED4C86" w:rsidRDefault="00D54B54" w:rsidP="00D54B54">
      <w:pPr>
        <w:jc w:val="center"/>
        <w:rPr>
          <w:b/>
          <w:bCs/>
          <w:sz w:val="20"/>
        </w:rPr>
        <w:sectPr w:rsidR="00D54B54" w:rsidRPr="00ED4C86">
          <w:footerReference w:type="first" r:id="rId10"/>
          <w:pgSz w:w="12240" w:h="15840" w:code="1"/>
          <w:pgMar w:top="1440" w:right="1440" w:bottom="1440" w:left="1440" w:header="576" w:footer="576" w:gutter="0"/>
          <w:pgNumType w:start="3"/>
          <w:cols w:space="720" w:equalWidth="0">
            <w:col w:w="9360"/>
          </w:cols>
        </w:sectPr>
      </w:pPr>
    </w:p>
    <w:p w14:paraId="5C37EDAC" w14:textId="77777777" w:rsidR="00D54B54" w:rsidRDefault="00D54B54" w:rsidP="00D54B54">
      <w:pPr>
        <w:jc w:val="center"/>
        <w:rPr>
          <w:b/>
        </w:rPr>
      </w:pPr>
      <w:proofErr w:type="spellStart"/>
      <w:r w:rsidRPr="00ED4C86">
        <w:rPr>
          <w:b/>
          <w:sz w:val="24"/>
          <w:szCs w:val="24"/>
        </w:rPr>
        <w:lastRenderedPageBreak/>
        <w:t>SOAH</w:t>
      </w:r>
      <w:proofErr w:type="spellEnd"/>
      <w:r w:rsidRPr="00ED4C86">
        <w:rPr>
          <w:b/>
          <w:sz w:val="24"/>
          <w:szCs w:val="24"/>
        </w:rPr>
        <w:t xml:space="preserve"> DOCKET NO. </w:t>
      </w:r>
      <w:r>
        <w:rPr>
          <w:b/>
        </w:rPr>
        <w:t>473-21-2606</w:t>
      </w:r>
    </w:p>
    <w:p w14:paraId="68A5C443" w14:textId="77777777" w:rsidR="00D54B54" w:rsidRPr="00ED4C86" w:rsidRDefault="00D54B54" w:rsidP="00D54B54">
      <w:pPr>
        <w:jc w:val="center"/>
        <w:rPr>
          <w:b/>
          <w:sz w:val="24"/>
        </w:rPr>
      </w:pPr>
      <w:r w:rsidRPr="00ED4C86">
        <w:rPr>
          <w:b/>
          <w:sz w:val="24"/>
          <w:szCs w:val="24"/>
        </w:rPr>
        <w:t xml:space="preserve">PUC DOCKET NO. </w:t>
      </w:r>
      <w:r>
        <w:rPr>
          <w:b/>
          <w:sz w:val="24"/>
          <w:szCs w:val="24"/>
        </w:rPr>
        <w:t>52195</w:t>
      </w:r>
    </w:p>
    <w:p w14:paraId="3A6723F1" w14:textId="77777777" w:rsidR="00D54B54" w:rsidRPr="00ED4C86" w:rsidRDefault="00D54B54" w:rsidP="00D54B54">
      <w:pPr>
        <w:jc w:val="center"/>
      </w:pPr>
    </w:p>
    <w:p w14:paraId="21DABA15" w14:textId="77777777" w:rsidR="00D54B54" w:rsidRPr="00ED4C86" w:rsidRDefault="00D54B54" w:rsidP="00D54B54">
      <w:pPr>
        <w:jc w:val="center"/>
      </w:pPr>
    </w:p>
    <w:tbl>
      <w:tblPr>
        <w:tblW w:w="8486" w:type="dxa"/>
        <w:tblInd w:w="558" w:type="dxa"/>
        <w:tblLook w:val="0000" w:firstRow="0" w:lastRow="0" w:firstColumn="0" w:lastColumn="0" w:noHBand="0" w:noVBand="0"/>
      </w:tblPr>
      <w:tblGrid>
        <w:gridCol w:w="4032"/>
        <w:gridCol w:w="296"/>
        <w:gridCol w:w="4158"/>
      </w:tblGrid>
      <w:tr w:rsidR="00D54B54" w14:paraId="38E0421D" w14:textId="77777777" w:rsidTr="006435B1">
        <w:tc>
          <w:tcPr>
            <w:tcW w:w="4032" w:type="dxa"/>
            <w:tcBorders>
              <w:top w:val="single" w:sz="4" w:space="0" w:color="auto"/>
              <w:bottom w:val="single" w:sz="4" w:space="0" w:color="auto"/>
            </w:tcBorders>
          </w:tcPr>
          <w:p w14:paraId="5F216FD3" w14:textId="77777777" w:rsidR="00D54B54" w:rsidRPr="00ED4C86" w:rsidRDefault="00D54B54" w:rsidP="006435B1">
            <w:pPr>
              <w:jc w:val="center"/>
              <w:rPr>
                <w:rFonts w:cs="Arial"/>
                <w:b/>
                <w:sz w:val="24"/>
                <w:szCs w:val="24"/>
              </w:rPr>
            </w:pPr>
          </w:p>
          <w:p w14:paraId="20CBD456" w14:textId="77777777" w:rsidR="00D54B54" w:rsidRPr="00ED4C86" w:rsidRDefault="00D54B54" w:rsidP="006435B1">
            <w:pPr>
              <w:rPr>
                <w:b/>
                <w:sz w:val="24"/>
                <w:szCs w:val="24"/>
              </w:rPr>
            </w:pPr>
            <w:r w:rsidRPr="00ED4C86">
              <w:rPr>
                <w:b/>
                <w:sz w:val="24"/>
                <w:szCs w:val="24"/>
              </w:rPr>
              <w:t xml:space="preserve">APPLICATION OF </w:t>
            </w:r>
            <w:r>
              <w:rPr>
                <w:b/>
                <w:sz w:val="24"/>
                <w:szCs w:val="24"/>
              </w:rPr>
              <w:t>EL PASO ELECTRIC COMPANY</w:t>
            </w:r>
            <w:r w:rsidRPr="00ED4C86">
              <w:rPr>
                <w:b/>
                <w:sz w:val="24"/>
                <w:szCs w:val="24"/>
              </w:rPr>
              <w:t xml:space="preserve"> TO CHANGE RATES </w:t>
            </w:r>
          </w:p>
        </w:tc>
        <w:tc>
          <w:tcPr>
            <w:tcW w:w="296" w:type="dxa"/>
          </w:tcPr>
          <w:p w14:paraId="469DA32F" w14:textId="77777777" w:rsidR="00D54B54" w:rsidRPr="00ED4C86" w:rsidRDefault="00D54B54" w:rsidP="006435B1">
            <w:pPr>
              <w:jc w:val="center"/>
              <w:rPr>
                <w:b/>
                <w:sz w:val="24"/>
                <w:szCs w:val="24"/>
              </w:rPr>
            </w:pPr>
            <w:r w:rsidRPr="00ED4C86">
              <w:rPr>
                <w:b/>
                <w:sz w:val="24"/>
                <w:szCs w:val="24"/>
              </w:rPr>
              <w:t>)</w:t>
            </w:r>
          </w:p>
          <w:p w14:paraId="288A27E7" w14:textId="77777777" w:rsidR="00D54B54" w:rsidRPr="00ED4C86" w:rsidRDefault="00D54B54" w:rsidP="006435B1">
            <w:pPr>
              <w:jc w:val="center"/>
              <w:rPr>
                <w:b/>
                <w:sz w:val="24"/>
                <w:szCs w:val="24"/>
              </w:rPr>
            </w:pPr>
            <w:r w:rsidRPr="00ED4C86">
              <w:rPr>
                <w:b/>
                <w:sz w:val="24"/>
                <w:szCs w:val="24"/>
              </w:rPr>
              <w:t>)</w:t>
            </w:r>
          </w:p>
          <w:p w14:paraId="57299CFD" w14:textId="77777777" w:rsidR="00D54B54" w:rsidRPr="00ED4C86" w:rsidRDefault="00D54B54" w:rsidP="006435B1">
            <w:pPr>
              <w:jc w:val="center"/>
              <w:rPr>
                <w:b/>
                <w:sz w:val="24"/>
                <w:szCs w:val="24"/>
              </w:rPr>
            </w:pPr>
            <w:r w:rsidRPr="00ED4C86">
              <w:rPr>
                <w:b/>
                <w:sz w:val="24"/>
                <w:szCs w:val="24"/>
              </w:rPr>
              <w:t>)</w:t>
            </w:r>
          </w:p>
          <w:p w14:paraId="7278681B" w14:textId="77777777" w:rsidR="00D54B54" w:rsidRPr="00ED4C86" w:rsidRDefault="00D54B54" w:rsidP="006435B1">
            <w:pPr>
              <w:jc w:val="center"/>
              <w:rPr>
                <w:b/>
                <w:sz w:val="24"/>
                <w:szCs w:val="24"/>
              </w:rPr>
            </w:pPr>
            <w:r w:rsidRPr="00ED4C86">
              <w:rPr>
                <w:b/>
                <w:sz w:val="24"/>
                <w:szCs w:val="24"/>
              </w:rPr>
              <w:t>)</w:t>
            </w:r>
          </w:p>
        </w:tc>
        <w:tc>
          <w:tcPr>
            <w:tcW w:w="4158" w:type="dxa"/>
          </w:tcPr>
          <w:p w14:paraId="103EB79E" w14:textId="77777777" w:rsidR="00D54B54" w:rsidRPr="00ED4C86" w:rsidRDefault="00D54B54" w:rsidP="006435B1">
            <w:pPr>
              <w:jc w:val="center"/>
              <w:rPr>
                <w:b/>
                <w:sz w:val="24"/>
                <w:szCs w:val="24"/>
              </w:rPr>
            </w:pPr>
          </w:p>
          <w:p w14:paraId="5116D9C7" w14:textId="77777777" w:rsidR="00D54B54" w:rsidRDefault="00D54B54" w:rsidP="006435B1">
            <w:pPr>
              <w:jc w:val="center"/>
              <w:rPr>
                <w:b/>
                <w:sz w:val="24"/>
                <w:szCs w:val="24"/>
              </w:rPr>
            </w:pPr>
            <w:r w:rsidRPr="00ED4C86">
              <w:rPr>
                <w:b/>
                <w:sz w:val="24"/>
                <w:szCs w:val="24"/>
              </w:rPr>
              <w:t>BEFORE THE</w:t>
            </w:r>
            <w:r>
              <w:rPr>
                <w:b/>
                <w:sz w:val="24"/>
                <w:szCs w:val="24"/>
              </w:rPr>
              <w:t xml:space="preserve"> STATE OFFICE</w:t>
            </w:r>
          </w:p>
          <w:p w14:paraId="74AD75AA" w14:textId="77777777" w:rsidR="00D54B54" w:rsidRDefault="00D54B54" w:rsidP="006435B1">
            <w:pPr>
              <w:jc w:val="center"/>
              <w:rPr>
                <w:b/>
                <w:sz w:val="24"/>
                <w:szCs w:val="24"/>
              </w:rPr>
            </w:pPr>
            <w:r>
              <w:rPr>
                <w:b/>
                <w:sz w:val="24"/>
                <w:szCs w:val="24"/>
              </w:rPr>
              <w:t>OF</w:t>
            </w:r>
          </w:p>
          <w:p w14:paraId="3D87FAD0" w14:textId="77777777" w:rsidR="00D54B54" w:rsidRPr="00ED4C86" w:rsidRDefault="00D54B54" w:rsidP="006435B1">
            <w:pPr>
              <w:jc w:val="center"/>
              <w:rPr>
                <w:b/>
                <w:sz w:val="24"/>
                <w:szCs w:val="24"/>
              </w:rPr>
            </w:pPr>
            <w:r>
              <w:rPr>
                <w:b/>
                <w:sz w:val="24"/>
                <w:szCs w:val="24"/>
              </w:rPr>
              <w:t>ADMINISTRATIVE HEARINGS</w:t>
            </w:r>
          </w:p>
          <w:p w14:paraId="24ADC160" w14:textId="77777777" w:rsidR="00D54B54" w:rsidRPr="00ED4C86" w:rsidRDefault="00D54B54" w:rsidP="006435B1">
            <w:pPr>
              <w:jc w:val="center"/>
              <w:rPr>
                <w:b/>
                <w:szCs w:val="24"/>
              </w:rPr>
            </w:pPr>
          </w:p>
        </w:tc>
      </w:tr>
    </w:tbl>
    <w:p w14:paraId="0E551BE5" w14:textId="77777777" w:rsidR="00D54B54" w:rsidRPr="00ED4C86" w:rsidRDefault="00D54B54" w:rsidP="00D54B54">
      <w:pPr>
        <w:jc w:val="both"/>
        <w:rPr>
          <w:szCs w:val="22"/>
        </w:rPr>
      </w:pPr>
      <w:r w:rsidRPr="00ED4C86">
        <w:rPr>
          <w:szCs w:val="22"/>
        </w:rPr>
        <w:t xml:space="preserve"> </w:t>
      </w:r>
    </w:p>
    <w:p w14:paraId="721BCCFF" w14:textId="77777777" w:rsidR="00D54B54" w:rsidRPr="00ED4C86" w:rsidRDefault="00D54B54" w:rsidP="00D54B54">
      <w:pPr>
        <w:jc w:val="both"/>
        <w:rPr>
          <w:szCs w:val="22"/>
        </w:rPr>
      </w:pPr>
    </w:p>
    <w:p w14:paraId="2F94444E" w14:textId="77777777" w:rsidR="00D54B54" w:rsidRPr="00ED4C86" w:rsidRDefault="00D54B54" w:rsidP="00D54B54">
      <w:pPr>
        <w:jc w:val="center"/>
        <w:rPr>
          <w:b/>
          <w:szCs w:val="24"/>
        </w:rPr>
      </w:pPr>
    </w:p>
    <w:p w14:paraId="660D2CF1" w14:textId="77777777" w:rsidR="00D54B54" w:rsidRPr="00ED4C86" w:rsidRDefault="00D54B54" w:rsidP="00D54B54">
      <w:pPr>
        <w:jc w:val="center"/>
        <w:rPr>
          <w:b/>
          <w:sz w:val="24"/>
        </w:rPr>
      </w:pPr>
      <w:r w:rsidRPr="00ED4C86">
        <w:rPr>
          <w:b/>
          <w:sz w:val="24"/>
        </w:rPr>
        <w:t xml:space="preserve">Filename:  </w:t>
      </w:r>
      <w:proofErr w:type="spellStart"/>
      <w:r w:rsidRPr="00ED4C86">
        <w:rPr>
          <w:b/>
          <w:sz w:val="24"/>
        </w:rPr>
        <w:t>MPG_DT</w:t>
      </w:r>
      <w:proofErr w:type="spellEnd"/>
    </w:p>
    <w:p w14:paraId="2281F3C4" w14:textId="77777777" w:rsidR="00D54B54" w:rsidRPr="00ED4C86" w:rsidRDefault="00D54B54" w:rsidP="00D54B54">
      <w:pPr>
        <w:ind w:right="-180"/>
        <w:jc w:val="right"/>
        <w:rPr>
          <w:b/>
          <w:sz w:val="24"/>
          <w:u w:val="single"/>
        </w:rPr>
      </w:pPr>
      <w:r w:rsidRPr="00ED4C86">
        <w:rPr>
          <w:b/>
          <w:sz w:val="24"/>
          <w:u w:val="single"/>
        </w:rPr>
        <w:t>Page</w:t>
      </w:r>
    </w:p>
    <w:p w14:paraId="6E71745A" w14:textId="77777777" w:rsidR="00D54B54" w:rsidRPr="00ED4C86" w:rsidRDefault="00D54B54" w:rsidP="00D54B54"/>
    <w:p w14:paraId="11898BD9" w14:textId="1DAAA651" w:rsidR="00D54B54" w:rsidRPr="00E66E5B" w:rsidRDefault="00D54B54" w:rsidP="00D54B54">
      <w:pPr>
        <w:pStyle w:val="TOC1"/>
        <w:rPr>
          <w:rFonts w:asciiTheme="minorHAnsi" w:eastAsiaTheme="minorEastAsia" w:hAnsiTheme="minorHAnsi" w:cstheme="minorBidi"/>
          <w:szCs w:val="22"/>
        </w:rPr>
      </w:pPr>
      <w:r w:rsidRPr="00E66E5B">
        <w:fldChar w:fldCharType="begin"/>
      </w:r>
      <w:r w:rsidRPr="00E66E5B">
        <w:instrText xml:space="preserve"> TOC \o "1-3" \h \z \u </w:instrText>
      </w:r>
      <w:r w:rsidRPr="00E66E5B">
        <w:fldChar w:fldCharType="separate"/>
      </w:r>
      <w:hyperlink w:anchor="_Toc85028717" w:history="1">
        <w:r w:rsidRPr="00E66E5B">
          <w:rPr>
            <w:rStyle w:val="Hyperlink"/>
          </w:rPr>
          <w:t>Affidavit of Michael P. Gorman</w:t>
        </w:r>
        <w:r w:rsidRPr="00E66E5B">
          <w:rPr>
            <w:webHidden/>
          </w:rPr>
          <w:tab/>
        </w:r>
        <w:r w:rsidRPr="00E66E5B">
          <w:rPr>
            <w:webHidden/>
          </w:rPr>
          <w:fldChar w:fldCharType="begin"/>
        </w:r>
        <w:r w:rsidRPr="00E66E5B">
          <w:rPr>
            <w:webHidden/>
          </w:rPr>
          <w:instrText xml:space="preserve"> PAGEREF _Toc85028717 \h </w:instrText>
        </w:r>
        <w:r w:rsidRPr="00E66E5B">
          <w:rPr>
            <w:webHidden/>
          </w:rPr>
        </w:r>
        <w:r w:rsidRPr="00E66E5B">
          <w:rPr>
            <w:webHidden/>
          </w:rPr>
          <w:fldChar w:fldCharType="separate"/>
        </w:r>
        <w:r w:rsidR="00BB02FE">
          <w:rPr>
            <w:webHidden/>
          </w:rPr>
          <w:t>3</w:t>
        </w:r>
        <w:r w:rsidRPr="00E66E5B">
          <w:rPr>
            <w:webHidden/>
          </w:rPr>
          <w:fldChar w:fldCharType="end"/>
        </w:r>
      </w:hyperlink>
    </w:p>
    <w:p w14:paraId="64C6ADB7" w14:textId="4832592C" w:rsidR="00D54B54" w:rsidRPr="00E66E5B" w:rsidRDefault="00BE2C24" w:rsidP="00D54B54">
      <w:pPr>
        <w:pStyle w:val="TOC1"/>
        <w:rPr>
          <w:rFonts w:asciiTheme="minorHAnsi" w:eastAsiaTheme="minorEastAsia" w:hAnsiTheme="minorHAnsi" w:cstheme="minorBidi"/>
          <w:szCs w:val="22"/>
        </w:rPr>
      </w:pPr>
      <w:hyperlink w:anchor="_Toc85028718" w:history="1">
        <w:r w:rsidR="00D54B54" w:rsidRPr="00E66E5B">
          <w:rPr>
            <w:rStyle w:val="Hyperlink"/>
          </w:rPr>
          <w:t>I.  CAPITAL MARKET OBSERVABLE EVIDENCE</w:t>
        </w:r>
        <w:r w:rsidR="00D54B54" w:rsidRPr="00E66E5B">
          <w:rPr>
            <w:webHidden/>
          </w:rPr>
          <w:tab/>
        </w:r>
        <w:r w:rsidR="00D54B54" w:rsidRPr="00E66E5B">
          <w:rPr>
            <w:webHidden/>
          </w:rPr>
          <w:fldChar w:fldCharType="begin"/>
        </w:r>
        <w:r w:rsidR="00D54B54" w:rsidRPr="00E66E5B">
          <w:rPr>
            <w:webHidden/>
          </w:rPr>
          <w:instrText xml:space="preserve"> PAGEREF _Toc85028718 \h </w:instrText>
        </w:r>
        <w:r w:rsidR="00D54B54" w:rsidRPr="00E66E5B">
          <w:rPr>
            <w:webHidden/>
          </w:rPr>
        </w:r>
        <w:r w:rsidR="00D54B54" w:rsidRPr="00E66E5B">
          <w:rPr>
            <w:webHidden/>
          </w:rPr>
          <w:fldChar w:fldCharType="separate"/>
        </w:r>
        <w:r w:rsidR="00BB02FE">
          <w:rPr>
            <w:webHidden/>
          </w:rPr>
          <w:t>6</w:t>
        </w:r>
        <w:r w:rsidR="00D54B54" w:rsidRPr="00E66E5B">
          <w:rPr>
            <w:webHidden/>
          </w:rPr>
          <w:fldChar w:fldCharType="end"/>
        </w:r>
      </w:hyperlink>
    </w:p>
    <w:p w14:paraId="350333ED" w14:textId="02883AA5" w:rsidR="00D54B54" w:rsidRPr="00E66E5B" w:rsidRDefault="00BE2C24" w:rsidP="00D54B54">
      <w:pPr>
        <w:pStyle w:val="TOC1"/>
        <w:ind w:left="360"/>
        <w:rPr>
          <w:rFonts w:asciiTheme="minorHAnsi" w:eastAsiaTheme="minorEastAsia" w:hAnsiTheme="minorHAnsi" w:cstheme="minorBidi"/>
          <w:szCs w:val="22"/>
        </w:rPr>
      </w:pPr>
      <w:hyperlink w:anchor="_Toc85028719" w:history="1">
        <w:r w:rsidR="00D54B54" w:rsidRPr="00E66E5B">
          <w:rPr>
            <w:rStyle w:val="Hyperlink"/>
            <w:rFonts w:cs="Arial"/>
          </w:rPr>
          <w:t>I.A</w:t>
        </w:r>
        <w:r w:rsidR="00D54B54" w:rsidRPr="00E66E5B">
          <w:rPr>
            <w:rFonts w:asciiTheme="minorHAnsi" w:eastAsiaTheme="minorEastAsia" w:hAnsiTheme="minorHAnsi" w:cstheme="minorBidi"/>
            <w:szCs w:val="22"/>
          </w:rPr>
          <w:tab/>
        </w:r>
        <w:r w:rsidR="00D54B54" w:rsidRPr="00E66E5B">
          <w:rPr>
            <w:rStyle w:val="Hyperlink"/>
            <w:rFonts w:cs="Arial"/>
          </w:rPr>
          <w:t>Utility Industry Authorized Returns on Equity,</w:t>
        </w:r>
      </w:hyperlink>
      <w:r w:rsidR="00D54B54" w:rsidRPr="00E66E5B">
        <w:rPr>
          <w:rFonts w:asciiTheme="minorHAnsi" w:eastAsiaTheme="minorEastAsia" w:hAnsiTheme="minorHAnsi" w:cstheme="minorBidi"/>
          <w:szCs w:val="22"/>
        </w:rPr>
        <w:t xml:space="preserve"> </w:t>
      </w:r>
    </w:p>
    <w:p w14:paraId="56EBDAE5" w14:textId="14D52E9F" w:rsidR="00D54B54" w:rsidRPr="00E66E5B" w:rsidRDefault="00BE2C24" w:rsidP="00D54B54">
      <w:pPr>
        <w:pStyle w:val="TOC1"/>
        <w:tabs>
          <w:tab w:val="clear" w:pos="360"/>
        </w:tabs>
        <w:ind w:left="900"/>
        <w:rPr>
          <w:rFonts w:asciiTheme="minorHAnsi" w:eastAsiaTheme="minorEastAsia" w:hAnsiTheme="minorHAnsi" w:cstheme="minorBidi"/>
          <w:szCs w:val="22"/>
        </w:rPr>
      </w:pPr>
      <w:hyperlink w:anchor="_Toc85028720" w:history="1">
        <w:r w:rsidR="00D54B54" w:rsidRPr="00E66E5B">
          <w:rPr>
            <w:rStyle w:val="Hyperlink"/>
            <w:rFonts w:cs="Arial"/>
          </w:rPr>
          <w:t>Access to Capital, and Credit Strength</w:t>
        </w:r>
        <w:r w:rsidR="00D54B54" w:rsidRPr="00E66E5B">
          <w:rPr>
            <w:webHidden/>
          </w:rPr>
          <w:tab/>
        </w:r>
        <w:r w:rsidR="00D54B54" w:rsidRPr="00E66E5B">
          <w:rPr>
            <w:webHidden/>
          </w:rPr>
          <w:fldChar w:fldCharType="begin"/>
        </w:r>
        <w:r w:rsidR="00D54B54" w:rsidRPr="00E66E5B">
          <w:rPr>
            <w:webHidden/>
          </w:rPr>
          <w:instrText xml:space="preserve"> PAGEREF _Toc85028720 \h </w:instrText>
        </w:r>
        <w:r w:rsidR="00D54B54" w:rsidRPr="00E66E5B">
          <w:rPr>
            <w:webHidden/>
          </w:rPr>
        </w:r>
        <w:r w:rsidR="00D54B54" w:rsidRPr="00E66E5B">
          <w:rPr>
            <w:webHidden/>
          </w:rPr>
          <w:fldChar w:fldCharType="separate"/>
        </w:r>
        <w:r w:rsidR="00BB02FE">
          <w:rPr>
            <w:webHidden/>
          </w:rPr>
          <w:t>6</w:t>
        </w:r>
        <w:r w:rsidR="00D54B54" w:rsidRPr="00E66E5B">
          <w:rPr>
            <w:webHidden/>
          </w:rPr>
          <w:fldChar w:fldCharType="end"/>
        </w:r>
      </w:hyperlink>
    </w:p>
    <w:p w14:paraId="31396E31" w14:textId="76BE7C2B" w:rsidR="00D54B54" w:rsidRPr="00E66E5B" w:rsidRDefault="00BE2C24" w:rsidP="00D54B54">
      <w:pPr>
        <w:pStyle w:val="TOC2"/>
        <w:rPr>
          <w:rFonts w:asciiTheme="minorHAnsi" w:eastAsiaTheme="minorEastAsia" w:hAnsiTheme="minorHAnsi" w:cstheme="minorBidi"/>
          <w:b/>
          <w:noProof/>
          <w:szCs w:val="22"/>
        </w:rPr>
      </w:pPr>
      <w:hyperlink w:anchor="_Toc85028721" w:history="1">
        <w:r w:rsidR="00D54B54" w:rsidRPr="00E66E5B">
          <w:rPr>
            <w:rStyle w:val="Hyperlink"/>
            <w:b/>
            <w:noProof/>
          </w:rPr>
          <w:t>I.B.  Access to Capital</w:t>
        </w:r>
        <w:r w:rsidR="00D54B54" w:rsidRPr="00E66E5B">
          <w:rPr>
            <w:b/>
            <w:noProof/>
            <w:webHidden/>
          </w:rPr>
          <w:tab/>
        </w:r>
        <w:r w:rsidR="00D54B54" w:rsidRPr="00E66E5B">
          <w:rPr>
            <w:b/>
            <w:noProof/>
            <w:webHidden/>
          </w:rPr>
          <w:fldChar w:fldCharType="begin"/>
        </w:r>
        <w:r w:rsidR="00D54B54" w:rsidRPr="00E66E5B">
          <w:rPr>
            <w:b/>
            <w:noProof/>
            <w:webHidden/>
          </w:rPr>
          <w:instrText xml:space="preserve"> PAGEREF _Toc85028721 \h </w:instrText>
        </w:r>
        <w:r w:rsidR="00D54B54" w:rsidRPr="00E66E5B">
          <w:rPr>
            <w:b/>
            <w:noProof/>
            <w:webHidden/>
          </w:rPr>
        </w:r>
        <w:r w:rsidR="00D54B54" w:rsidRPr="00E66E5B">
          <w:rPr>
            <w:b/>
            <w:noProof/>
            <w:webHidden/>
          </w:rPr>
          <w:fldChar w:fldCharType="separate"/>
        </w:r>
        <w:r w:rsidR="00BB02FE">
          <w:rPr>
            <w:b/>
            <w:noProof/>
            <w:webHidden/>
          </w:rPr>
          <w:t>7</w:t>
        </w:r>
        <w:r w:rsidR="00D54B54" w:rsidRPr="00E66E5B">
          <w:rPr>
            <w:b/>
            <w:noProof/>
            <w:webHidden/>
          </w:rPr>
          <w:fldChar w:fldCharType="end"/>
        </w:r>
      </w:hyperlink>
    </w:p>
    <w:p w14:paraId="03450FF7" w14:textId="36430C35" w:rsidR="00D54B54" w:rsidRPr="00E66E5B" w:rsidRDefault="00BE2C24" w:rsidP="00D54B54">
      <w:pPr>
        <w:pStyle w:val="TOC2"/>
        <w:rPr>
          <w:rFonts w:asciiTheme="minorHAnsi" w:eastAsiaTheme="minorEastAsia" w:hAnsiTheme="minorHAnsi" w:cstheme="minorBidi"/>
          <w:b/>
          <w:noProof/>
          <w:szCs w:val="22"/>
        </w:rPr>
      </w:pPr>
      <w:hyperlink w:anchor="_Toc85028722" w:history="1">
        <w:r w:rsidR="00D54B54" w:rsidRPr="00E66E5B">
          <w:rPr>
            <w:rStyle w:val="Hyperlink"/>
            <w:b/>
            <w:noProof/>
          </w:rPr>
          <w:t>I.C.  Utility Access to Equity Capital</w:t>
        </w:r>
        <w:r w:rsidR="00D54B54" w:rsidRPr="00E66E5B">
          <w:rPr>
            <w:b/>
            <w:noProof/>
            <w:webHidden/>
          </w:rPr>
          <w:tab/>
        </w:r>
        <w:r w:rsidR="00D54B54" w:rsidRPr="00E66E5B">
          <w:rPr>
            <w:b/>
            <w:noProof/>
            <w:webHidden/>
          </w:rPr>
          <w:fldChar w:fldCharType="begin"/>
        </w:r>
        <w:r w:rsidR="00D54B54" w:rsidRPr="00E66E5B">
          <w:rPr>
            <w:b/>
            <w:noProof/>
            <w:webHidden/>
          </w:rPr>
          <w:instrText xml:space="preserve"> PAGEREF _Toc85028722 \h </w:instrText>
        </w:r>
        <w:r w:rsidR="00D54B54" w:rsidRPr="00E66E5B">
          <w:rPr>
            <w:b/>
            <w:noProof/>
            <w:webHidden/>
          </w:rPr>
        </w:r>
        <w:r w:rsidR="00D54B54" w:rsidRPr="00E66E5B">
          <w:rPr>
            <w:b/>
            <w:noProof/>
            <w:webHidden/>
          </w:rPr>
          <w:fldChar w:fldCharType="separate"/>
        </w:r>
        <w:r w:rsidR="00BB02FE">
          <w:rPr>
            <w:b/>
            <w:noProof/>
            <w:webHidden/>
          </w:rPr>
          <w:t>9</w:t>
        </w:r>
        <w:r w:rsidR="00D54B54" w:rsidRPr="00E66E5B">
          <w:rPr>
            <w:b/>
            <w:noProof/>
            <w:webHidden/>
          </w:rPr>
          <w:fldChar w:fldCharType="end"/>
        </w:r>
      </w:hyperlink>
    </w:p>
    <w:p w14:paraId="0B82391F" w14:textId="1779E74C" w:rsidR="00D54B54" w:rsidRPr="00E66E5B" w:rsidRDefault="00BE2C24" w:rsidP="00D54B54">
      <w:pPr>
        <w:pStyle w:val="TOC2"/>
        <w:rPr>
          <w:rFonts w:asciiTheme="minorHAnsi" w:eastAsiaTheme="minorEastAsia" w:hAnsiTheme="minorHAnsi" w:cstheme="minorBidi"/>
          <w:b/>
          <w:noProof/>
          <w:szCs w:val="22"/>
        </w:rPr>
      </w:pPr>
      <w:hyperlink w:anchor="_Toc85028723" w:history="1">
        <w:r w:rsidR="00D54B54" w:rsidRPr="00E66E5B">
          <w:rPr>
            <w:rStyle w:val="Hyperlink"/>
            <w:rFonts w:eastAsiaTheme="majorEastAsia" w:cstheme="majorBidi"/>
            <w:b/>
            <w:noProof/>
          </w:rPr>
          <w:t>I.D.  Federal Reserve’s Impact on Cost of Capital</w:t>
        </w:r>
        <w:r w:rsidR="00D54B54" w:rsidRPr="00E66E5B">
          <w:rPr>
            <w:b/>
            <w:noProof/>
            <w:webHidden/>
          </w:rPr>
          <w:tab/>
        </w:r>
        <w:r w:rsidR="00D54B54" w:rsidRPr="00E66E5B">
          <w:rPr>
            <w:b/>
            <w:noProof/>
            <w:webHidden/>
          </w:rPr>
          <w:fldChar w:fldCharType="begin"/>
        </w:r>
        <w:r w:rsidR="00D54B54" w:rsidRPr="00E66E5B">
          <w:rPr>
            <w:b/>
            <w:noProof/>
            <w:webHidden/>
          </w:rPr>
          <w:instrText xml:space="preserve"> PAGEREF _Toc85028723 \h </w:instrText>
        </w:r>
        <w:r w:rsidR="00D54B54" w:rsidRPr="00E66E5B">
          <w:rPr>
            <w:b/>
            <w:noProof/>
            <w:webHidden/>
          </w:rPr>
        </w:r>
        <w:r w:rsidR="00D54B54" w:rsidRPr="00E66E5B">
          <w:rPr>
            <w:b/>
            <w:noProof/>
            <w:webHidden/>
          </w:rPr>
          <w:fldChar w:fldCharType="separate"/>
        </w:r>
        <w:r w:rsidR="00BB02FE">
          <w:rPr>
            <w:b/>
            <w:noProof/>
            <w:webHidden/>
          </w:rPr>
          <w:t>11</w:t>
        </w:r>
        <w:r w:rsidR="00D54B54" w:rsidRPr="00E66E5B">
          <w:rPr>
            <w:b/>
            <w:noProof/>
            <w:webHidden/>
          </w:rPr>
          <w:fldChar w:fldCharType="end"/>
        </w:r>
      </w:hyperlink>
    </w:p>
    <w:p w14:paraId="1DD60B32" w14:textId="4F16E52B" w:rsidR="00D54B54" w:rsidRPr="00E66E5B" w:rsidRDefault="00BE2C24" w:rsidP="00D54B54">
      <w:pPr>
        <w:pStyle w:val="TOC1"/>
        <w:rPr>
          <w:rFonts w:asciiTheme="minorHAnsi" w:eastAsiaTheme="minorEastAsia" w:hAnsiTheme="minorHAnsi" w:cstheme="minorBidi"/>
          <w:szCs w:val="22"/>
        </w:rPr>
      </w:pPr>
      <w:hyperlink w:anchor="_Toc85028724" w:history="1">
        <w:r w:rsidR="00D54B54" w:rsidRPr="00E66E5B">
          <w:rPr>
            <w:rStyle w:val="Hyperlink"/>
          </w:rPr>
          <w:t xml:space="preserve">II.  </w:t>
        </w:r>
        <w:r w:rsidR="00D54B54" w:rsidRPr="00E66E5B">
          <w:rPr>
            <w:rStyle w:val="Hyperlink"/>
            <w:rFonts w:eastAsia="Calibri"/>
          </w:rPr>
          <w:t xml:space="preserve">EPE </w:t>
        </w:r>
        <w:r w:rsidR="00D54B54" w:rsidRPr="00E66E5B">
          <w:rPr>
            <w:rStyle w:val="Hyperlink"/>
          </w:rPr>
          <w:t>INVESTMENT RISK</w:t>
        </w:r>
        <w:r w:rsidR="00D54B54" w:rsidRPr="00E66E5B">
          <w:rPr>
            <w:webHidden/>
          </w:rPr>
          <w:tab/>
        </w:r>
        <w:r w:rsidR="00D54B54" w:rsidRPr="00E66E5B">
          <w:rPr>
            <w:webHidden/>
          </w:rPr>
          <w:fldChar w:fldCharType="begin"/>
        </w:r>
        <w:r w:rsidR="00D54B54" w:rsidRPr="00E66E5B">
          <w:rPr>
            <w:webHidden/>
          </w:rPr>
          <w:instrText xml:space="preserve"> PAGEREF _Toc85028724 \h </w:instrText>
        </w:r>
        <w:r w:rsidR="00D54B54" w:rsidRPr="00E66E5B">
          <w:rPr>
            <w:webHidden/>
          </w:rPr>
        </w:r>
        <w:r w:rsidR="00D54B54" w:rsidRPr="00E66E5B">
          <w:rPr>
            <w:webHidden/>
          </w:rPr>
          <w:fldChar w:fldCharType="separate"/>
        </w:r>
        <w:r w:rsidR="00BB02FE">
          <w:rPr>
            <w:webHidden/>
          </w:rPr>
          <w:t>17</w:t>
        </w:r>
        <w:r w:rsidR="00D54B54" w:rsidRPr="00E66E5B">
          <w:rPr>
            <w:webHidden/>
          </w:rPr>
          <w:fldChar w:fldCharType="end"/>
        </w:r>
      </w:hyperlink>
    </w:p>
    <w:p w14:paraId="377838B9" w14:textId="2CE84307" w:rsidR="00D54B54" w:rsidRPr="00E66E5B" w:rsidRDefault="00BE2C24" w:rsidP="00D54B54">
      <w:pPr>
        <w:pStyle w:val="TOC2"/>
        <w:rPr>
          <w:rFonts w:asciiTheme="minorHAnsi" w:eastAsiaTheme="minorEastAsia" w:hAnsiTheme="minorHAnsi" w:cstheme="minorBidi"/>
          <w:b/>
          <w:noProof/>
          <w:szCs w:val="22"/>
        </w:rPr>
      </w:pPr>
      <w:hyperlink w:anchor="_Toc85028725" w:history="1">
        <w:r w:rsidR="00D54B54" w:rsidRPr="00E66E5B">
          <w:rPr>
            <w:rStyle w:val="Hyperlink"/>
            <w:b/>
            <w:bCs/>
            <w:noProof/>
          </w:rPr>
          <w:t xml:space="preserve">II.A.  </w:t>
        </w:r>
        <w:r w:rsidR="00D54B54" w:rsidRPr="00E66E5B">
          <w:rPr>
            <w:rStyle w:val="Hyperlink"/>
            <w:rFonts w:eastAsia="Calibri"/>
            <w:b/>
            <w:bCs/>
            <w:noProof/>
          </w:rPr>
          <w:t>EPE</w:t>
        </w:r>
        <w:r w:rsidR="00D54B54" w:rsidRPr="00E66E5B">
          <w:rPr>
            <w:rStyle w:val="Hyperlink"/>
            <w:b/>
            <w:bCs/>
            <w:noProof/>
          </w:rPr>
          <w:t>’s Proposed Capital Structure</w:t>
        </w:r>
        <w:r w:rsidR="00D54B54" w:rsidRPr="00E66E5B">
          <w:rPr>
            <w:b/>
            <w:noProof/>
            <w:webHidden/>
          </w:rPr>
          <w:tab/>
        </w:r>
        <w:r w:rsidR="00D54B54" w:rsidRPr="00E66E5B">
          <w:rPr>
            <w:b/>
            <w:noProof/>
            <w:webHidden/>
          </w:rPr>
          <w:fldChar w:fldCharType="begin"/>
        </w:r>
        <w:r w:rsidR="00D54B54" w:rsidRPr="00E66E5B">
          <w:rPr>
            <w:b/>
            <w:noProof/>
            <w:webHidden/>
          </w:rPr>
          <w:instrText xml:space="preserve"> PAGEREF _Toc85028725 \h </w:instrText>
        </w:r>
        <w:r w:rsidR="00D54B54" w:rsidRPr="00E66E5B">
          <w:rPr>
            <w:b/>
            <w:noProof/>
            <w:webHidden/>
          </w:rPr>
        </w:r>
        <w:r w:rsidR="00D54B54" w:rsidRPr="00E66E5B">
          <w:rPr>
            <w:b/>
            <w:noProof/>
            <w:webHidden/>
          </w:rPr>
          <w:fldChar w:fldCharType="separate"/>
        </w:r>
        <w:r w:rsidR="00BB02FE">
          <w:rPr>
            <w:b/>
            <w:noProof/>
            <w:webHidden/>
          </w:rPr>
          <w:t>20</w:t>
        </w:r>
        <w:r w:rsidR="00D54B54" w:rsidRPr="00E66E5B">
          <w:rPr>
            <w:b/>
            <w:noProof/>
            <w:webHidden/>
          </w:rPr>
          <w:fldChar w:fldCharType="end"/>
        </w:r>
      </w:hyperlink>
    </w:p>
    <w:p w14:paraId="1A24EB50" w14:textId="35486AFE" w:rsidR="00D54B54" w:rsidRPr="00E66E5B" w:rsidRDefault="00BE2C24" w:rsidP="00D54B54">
      <w:pPr>
        <w:pStyle w:val="TOC2"/>
        <w:rPr>
          <w:rFonts w:asciiTheme="minorHAnsi" w:eastAsiaTheme="minorEastAsia" w:hAnsiTheme="minorHAnsi" w:cstheme="minorBidi"/>
          <w:b/>
          <w:noProof/>
          <w:szCs w:val="22"/>
        </w:rPr>
      </w:pPr>
      <w:hyperlink w:anchor="_Toc85028726" w:history="1">
        <w:r w:rsidR="00D54B54" w:rsidRPr="00E66E5B">
          <w:rPr>
            <w:rStyle w:val="Hyperlink"/>
            <w:b/>
            <w:bCs/>
            <w:caps/>
            <w:noProof/>
          </w:rPr>
          <w:t xml:space="preserve">II.B.  </w:t>
        </w:r>
        <w:r w:rsidR="00D54B54" w:rsidRPr="00E66E5B">
          <w:rPr>
            <w:rStyle w:val="Hyperlink"/>
            <w:b/>
            <w:bCs/>
            <w:noProof/>
          </w:rPr>
          <w:t>Embedded Cost of Debt</w:t>
        </w:r>
        <w:r w:rsidR="00D54B54" w:rsidRPr="00E66E5B">
          <w:rPr>
            <w:b/>
            <w:noProof/>
            <w:webHidden/>
          </w:rPr>
          <w:tab/>
        </w:r>
        <w:r w:rsidR="00D54B54" w:rsidRPr="00E66E5B">
          <w:rPr>
            <w:b/>
            <w:noProof/>
            <w:webHidden/>
          </w:rPr>
          <w:fldChar w:fldCharType="begin"/>
        </w:r>
        <w:r w:rsidR="00D54B54" w:rsidRPr="00E66E5B">
          <w:rPr>
            <w:b/>
            <w:noProof/>
            <w:webHidden/>
          </w:rPr>
          <w:instrText xml:space="preserve"> PAGEREF _Toc85028726 \h </w:instrText>
        </w:r>
        <w:r w:rsidR="00D54B54" w:rsidRPr="00E66E5B">
          <w:rPr>
            <w:b/>
            <w:noProof/>
            <w:webHidden/>
          </w:rPr>
        </w:r>
        <w:r w:rsidR="00D54B54" w:rsidRPr="00E66E5B">
          <w:rPr>
            <w:b/>
            <w:noProof/>
            <w:webHidden/>
          </w:rPr>
          <w:fldChar w:fldCharType="separate"/>
        </w:r>
        <w:r w:rsidR="00BB02FE">
          <w:rPr>
            <w:b/>
            <w:noProof/>
            <w:webHidden/>
          </w:rPr>
          <w:t>20</w:t>
        </w:r>
        <w:r w:rsidR="00D54B54" w:rsidRPr="00E66E5B">
          <w:rPr>
            <w:b/>
            <w:noProof/>
            <w:webHidden/>
          </w:rPr>
          <w:fldChar w:fldCharType="end"/>
        </w:r>
      </w:hyperlink>
    </w:p>
    <w:p w14:paraId="15640C9E" w14:textId="6E5DBB36" w:rsidR="00D54B54" w:rsidRPr="00E66E5B" w:rsidRDefault="00BE2C24" w:rsidP="00D54B54">
      <w:pPr>
        <w:pStyle w:val="TOC1"/>
        <w:rPr>
          <w:rFonts w:asciiTheme="minorHAnsi" w:eastAsiaTheme="minorEastAsia" w:hAnsiTheme="minorHAnsi" w:cstheme="minorBidi"/>
          <w:szCs w:val="22"/>
        </w:rPr>
      </w:pPr>
      <w:hyperlink w:anchor="_Toc85028727" w:history="1">
        <w:r w:rsidR="00D54B54" w:rsidRPr="00E66E5B">
          <w:rPr>
            <w:rStyle w:val="Hyperlink"/>
          </w:rPr>
          <w:t>III.  MARKET RETURN ON EQUITY</w:t>
        </w:r>
        <w:r w:rsidR="00D54B54" w:rsidRPr="00E66E5B">
          <w:rPr>
            <w:webHidden/>
          </w:rPr>
          <w:tab/>
        </w:r>
        <w:r w:rsidR="00D54B54" w:rsidRPr="00E66E5B">
          <w:rPr>
            <w:webHidden/>
          </w:rPr>
          <w:fldChar w:fldCharType="begin"/>
        </w:r>
        <w:r w:rsidR="00D54B54" w:rsidRPr="00E66E5B">
          <w:rPr>
            <w:webHidden/>
          </w:rPr>
          <w:instrText xml:space="preserve"> PAGEREF _Toc85028727 \h </w:instrText>
        </w:r>
        <w:r w:rsidR="00D54B54" w:rsidRPr="00E66E5B">
          <w:rPr>
            <w:webHidden/>
          </w:rPr>
        </w:r>
        <w:r w:rsidR="00D54B54" w:rsidRPr="00E66E5B">
          <w:rPr>
            <w:webHidden/>
          </w:rPr>
          <w:fldChar w:fldCharType="separate"/>
        </w:r>
        <w:r w:rsidR="00BB02FE">
          <w:rPr>
            <w:webHidden/>
          </w:rPr>
          <w:t>21</w:t>
        </w:r>
        <w:r w:rsidR="00D54B54" w:rsidRPr="00E66E5B">
          <w:rPr>
            <w:webHidden/>
          </w:rPr>
          <w:fldChar w:fldCharType="end"/>
        </w:r>
      </w:hyperlink>
    </w:p>
    <w:p w14:paraId="3A44D7D9" w14:textId="7214A18C" w:rsidR="00D54B54" w:rsidRPr="00E66E5B" w:rsidRDefault="00BE2C24" w:rsidP="00D54B54">
      <w:pPr>
        <w:pStyle w:val="TOC2"/>
        <w:rPr>
          <w:rFonts w:asciiTheme="minorHAnsi" w:eastAsiaTheme="minorEastAsia" w:hAnsiTheme="minorHAnsi" w:cstheme="minorBidi"/>
          <w:b/>
          <w:noProof/>
          <w:szCs w:val="22"/>
        </w:rPr>
      </w:pPr>
      <w:hyperlink w:anchor="_Toc85028728" w:history="1">
        <w:r w:rsidR="00D54B54" w:rsidRPr="00E66E5B">
          <w:rPr>
            <w:rStyle w:val="Hyperlink"/>
            <w:rFonts w:cs="Arial"/>
            <w:b/>
            <w:caps/>
            <w:noProof/>
          </w:rPr>
          <w:t>III</w:t>
        </w:r>
        <w:r w:rsidR="00D54B54" w:rsidRPr="00E66E5B">
          <w:rPr>
            <w:rStyle w:val="Hyperlink"/>
            <w:rFonts w:cs="Arial"/>
            <w:b/>
            <w:noProof/>
          </w:rPr>
          <w:t>.A.</w:t>
        </w:r>
        <w:r w:rsidR="00D54B54" w:rsidRPr="00E66E5B">
          <w:rPr>
            <w:rStyle w:val="Hyperlink"/>
            <w:b/>
            <w:noProof/>
          </w:rPr>
          <w:t xml:space="preserve">  Risk Proxy Group</w:t>
        </w:r>
        <w:r w:rsidR="00D54B54" w:rsidRPr="00E66E5B">
          <w:rPr>
            <w:b/>
            <w:noProof/>
            <w:webHidden/>
          </w:rPr>
          <w:tab/>
        </w:r>
        <w:r w:rsidR="00D54B54" w:rsidRPr="00E66E5B">
          <w:rPr>
            <w:b/>
            <w:noProof/>
            <w:webHidden/>
          </w:rPr>
          <w:fldChar w:fldCharType="begin"/>
        </w:r>
        <w:r w:rsidR="00D54B54" w:rsidRPr="00E66E5B">
          <w:rPr>
            <w:b/>
            <w:noProof/>
            <w:webHidden/>
          </w:rPr>
          <w:instrText xml:space="preserve"> PAGEREF _Toc85028728 \h </w:instrText>
        </w:r>
        <w:r w:rsidR="00D54B54" w:rsidRPr="00E66E5B">
          <w:rPr>
            <w:b/>
            <w:noProof/>
            <w:webHidden/>
          </w:rPr>
        </w:r>
        <w:r w:rsidR="00D54B54" w:rsidRPr="00E66E5B">
          <w:rPr>
            <w:b/>
            <w:noProof/>
            <w:webHidden/>
          </w:rPr>
          <w:fldChar w:fldCharType="separate"/>
        </w:r>
        <w:r w:rsidR="00BB02FE">
          <w:rPr>
            <w:b/>
            <w:noProof/>
            <w:webHidden/>
          </w:rPr>
          <w:t>22</w:t>
        </w:r>
        <w:r w:rsidR="00D54B54" w:rsidRPr="00E66E5B">
          <w:rPr>
            <w:b/>
            <w:noProof/>
            <w:webHidden/>
          </w:rPr>
          <w:fldChar w:fldCharType="end"/>
        </w:r>
      </w:hyperlink>
    </w:p>
    <w:p w14:paraId="7E19807C" w14:textId="6ED562D4" w:rsidR="00D54B54" w:rsidRPr="00E66E5B" w:rsidRDefault="00BE2C24" w:rsidP="00D54B54">
      <w:pPr>
        <w:pStyle w:val="TOC2"/>
        <w:rPr>
          <w:rFonts w:asciiTheme="minorHAnsi" w:eastAsiaTheme="minorEastAsia" w:hAnsiTheme="minorHAnsi" w:cstheme="minorBidi"/>
          <w:b/>
          <w:noProof/>
          <w:szCs w:val="22"/>
        </w:rPr>
      </w:pPr>
      <w:hyperlink w:anchor="_Toc85028729" w:history="1">
        <w:r w:rsidR="00D54B54" w:rsidRPr="00E66E5B">
          <w:rPr>
            <w:rStyle w:val="Hyperlink"/>
            <w:b/>
            <w:caps/>
            <w:noProof/>
          </w:rPr>
          <w:t>III</w:t>
        </w:r>
        <w:r w:rsidR="00D54B54" w:rsidRPr="00E66E5B">
          <w:rPr>
            <w:rStyle w:val="Hyperlink"/>
            <w:b/>
            <w:noProof/>
          </w:rPr>
          <w:t>.B.  DCF Model</w:t>
        </w:r>
        <w:r w:rsidR="00D54B54" w:rsidRPr="00E66E5B">
          <w:rPr>
            <w:b/>
            <w:noProof/>
            <w:webHidden/>
          </w:rPr>
          <w:tab/>
        </w:r>
        <w:r w:rsidR="00D54B54" w:rsidRPr="00E66E5B">
          <w:rPr>
            <w:b/>
            <w:noProof/>
            <w:webHidden/>
          </w:rPr>
          <w:fldChar w:fldCharType="begin"/>
        </w:r>
        <w:r w:rsidR="00D54B54" w:rsidRPr="00E66E5B">
          <w:rPr>
            <w:b/>
            <w:noProof/>
            <w:webHidden/>
          </w:rPr>
          <w:instrText xml:space="preserve"> PAGEREF _Toc85028729 \h </w:instrText>
        </w:r>
        <w:r w:rsidR="00D54B54" w:rsidRPr="00E66E5B">
          <w:rPr>
            <w:b/>
            <w:noProof/>
            <w:webHidden/>
          </w:rPr>
        </w:r>
        <w:r w:rsidR="00D54B54" w:rsidRPr="00E66E5B">
          <w:rPr>
            <w:b/>
            <w:noProof/>
            <w:webHidden/>
          </w:rPr>
          <w:fldChar w:fldCharType="separate"/>
        </w:r>
        <w:r w:rsidR="00BB02FE">
          <w:rPr>
            <w:b/>
            <w:noProof/>
            <w:webHidden/>
          </w:rPr>
          <w:t>23</w:t>
        </w:r>
        <w:r w:rsidR="00D54B54" w:rsidRPr="00E66E5B">
          <w:rPr>
            <w:b/>
            <w:noProof/>
            <w:webHidden/>
          </w:rPr>
          <w:fldChar w:fldCharType="end"/>
        </w:r>
      </w:hyperlink>
    </w:p>
    <w:p w14:paraId="33632163" w14:textId="4AD9EBEB" w:rsidR="00D54B54" w:rsidRPr="00E66E5B" w:rsidRDefault="00BE2C24" w:rsidP="00D54B54">
      <w:pPr>
        <w:pStyle w:val="TOC2"/>
        <w:rPr>
          <w:rFonts w:asciiTheme="minorHAnsi" w:eastAsiaTheme="minorEastAsia" w:hAnsiTheme="minorHAnsi" w:cstheme="minorBidi"/>
          <w:b/>
          <w:noProof/>
          <w:szCs w:val="22"/>
        </w:rPr>
      </w:pPr>
      <w:hyperlink w:anchor="_Toc85028730" w:history="1">
        <w:r w:rsidR="00D54B54" w:rsidRPr="00E66E5B">
          <w:rPr>
            <w:rStyle w:val="Hyperlink"/>
            <w:b/>
            <w:caps/>
            <w:noProof/>
          </w:rPr>
          <w:t>III</w:t>
        </w:r>
        <w:r w:rsidR="00D54B54" w:rsidRPr="00E66E5B">
          <w:rPr>
            <w:rStyle w:val="Hyperlink"/>
            <w:b/>
            <w:noProof/>
          </w:rPr>
          <w:t>.C.  Sustainable Growth DCF</w:t>
        </w:r>
        <w:r w:rsidR="00D54B54" w:rsidRPr="00E66E5B">
          <w:rPr>
            <w:b/>
            <w:noProof/>
            <w:webHidden/>
          </w:rPr>
          <w:tab/>
        </w:r>
        <w:r w:rsidR="00D54B54" w:rsidRPr="00E66E5B">
          <w:rPr>
            <w:b/>
            <w:noProof/>
            <w:webHidden/>
          </w:rPr>
          <w:fldChar w:fldCharType="begin"/>
        </w:r>
        <w:r w:rsidR="00D54B54" w:rsidRPr="00E66E5B">
          <w:rPr>
            <w:b/>
            <w:noProof/>
            <w:webHidden/>
          </w:rPr>
          <w:instrText xml:space="preserve"> PAGEREF _Toc85028730 \h </w:instrText>
        </w:r>
        <w:r w:rsidR="00D54B54" w:rsidRPr="00E66E5B">
          <w:rPr>
            <w:b/>
            <w:noProof/>
            <w:webHidden/>
          </w:rPr>
        </w:r>
        <w:r w:rsidR="00D54B54" w:rsidRPr="00E66E5B">
          <w:rPr>
            <w:b/>
            <w:noProof/>
            <w:webHidden/>
          </w:rPr>
          <w:fldChar w:fldCharType="separate"/>
        </w:r>
        <w:r w:rsidR="00BB02FE">
          <w:rPr>
            <w:b/>
            <w:noProof/>
            <w:webHidden/>
          </w:rPr>
          <w:t>28</w:t>
        </w:r>
        <w:r w:rsidR="00D54B54" w:rsidRPr="00E66E5B">
          <w:rPr>
            <w:b/>
            <w:noProof/>
            <w:webHidden/>
          </w:rPr>
          <w:fldChar w:fldCharType="end"/>
        </w:r>
      </w:hyperlink>
    </w:p>
    <w:p w14:paraId="7D04B50B" w14:textId="1A3F3E14" w:rsidR="00D54B54" w:rsidRPr="00E66E5B" w:rsidRDefault="00BE2C24" w:rsidP="00D54B54">
      <w:pPr>
        <w:pStyle w:val="TOC2"/>
        <w:rPr>
          <w:rFonts w:asciiTheme="minorHAnsi" w:eastAsiaTheme="minorEastAsia" w:hAnsiTheme="minorHAnsi" w:cstheme="minorBidi"/>
          <w:b/>
          <w:noProof/>
          <w:szCs w:val="22"/>
        </w:rPr>
      </w:pPr>
      <w:hyperlink w:anchor="_Toc85028731" w:history="1">
        <w:r w:rsidR="00D54B54" w:rsidRPr="00E66E5B">
          <w:rPr>
            <w:rStyle w:val="Hyperlink"/>
            <w:rFonts w:cs="Arial"/>
            <w:b/>
            <w:caps/>
            <w:noProof/>
          </w:rPr>
          <w:t>III</w:t>
        </w:r>
        <w:r w:rsidR="00D54B54" w:rsidRPr="00E66E5B">
          <w:rPr>
            <w:rStyle w:val="Hyperlink"/>
            <w:rFonts w:cs="Arial"/>
            <w:b/>
            <w:noProof/>
          </w:rPr>
          <w:t>.D.</w:t>
        </w:r>
        <w:r w:rsidR="00D54B54" w:rsidRPr="00E66E5B">
          <w:rPr>
            <w:rStyle w:val="Hyperlink"/>
            <w:b/>
            <w:noProof/>
          </w:rPr>
          <w:t xml:space="preserve">  Multi-Stage Growth DCF Model</w:t>
        </w:r>
        <w:r w:rsidR="00D54B54" w:rsidRPr="00E66E5B">
          <w:rPr>
            <w:b/>
            <w:noProof/>
            <w:webHidden/>
          </w:rPr>
          <w:tab/>
        </w:r>
        <w:r w:rsidR="00D54B54" w:rsidRPr="00E66E5B">
          <w:rPr>
            <w:b/>
            <w:noProof/>
            <w:webHidden/>
          </w:rPr>
          <w:fldChar w:fldCharType="begin"/>
        </w:r>
        <w:r w:rsidR="00D54B54" w:rsidRPr="00E66E5B">
          <w:rPr>
            <w:b/>
            <w:noProof/>
            <w:webHidden/>
          </w:rPr>
          <w:instrText xml:space="preserve"> PAGEREF _Toc85028731 \h </w:instrText>
        </w:r>
        <w:r w:rsidR="00D54B54" w:rsidRPr="00E66E5B">
          <w:rPr>
            <w:b/>
            <w:noProof/>
            <w:webHidden/>
          </w:rPr>
        </w:r>
        <w:r w:rsidR="00D54B54" w:rsidRPr="00E66E5B">
          <w:rPr>
            <w:b/>
            <w:noProof/>
            <w:webHidden/>
          </w:rPr>
          <w:fldChar w:fldCharType="separate"/>
        </w:r>
        <w:r w:rsidR="00BB02FE">
          <w:rPr>
            <w:b/>
            <w:noProof/>
            <w:webHidden/>
          </w:rPr>
          <w:t>29</w:t>
        </w:r>
        <w:r w:rsidR="00D54B54" w:rsidRPr="00E66E5B">
          <w:rPr>
            <w:b/>
            <w:noProof/>
            <w:webHidden/>
          </w:rPr>
          <w:fldChar w:fldCharType="end"/>
        </w:r>
      </w:hyperlink>
    </w:p>
    <w:p w14:paraId="38A25E48" w14:textId="52800527" w:rsidR="00D54B54" w:rsidRPr="00E66E5B" w:rsidRDefault="00BE2C24" w:rsidP="00D54B54">
      <w:pPr>
        <w:pStyle w:val="TOC2"/>
        <w:rPr>
          <w:rFonts w:asciiTheme="minorHAnsi" w:eastAsiaTheme="minorEastAsia" w:hAnsiTheme="minorHAnsi" w:cstheme="minorBidi"/>
          <w:b/>
          <w:noProof/>
          <w:szCs w:val="22"/>
        </w:rPr>
      </w:pPr>
      <w:hyperlink w:anchor="_Toc85028732" w:history="1">
        <w:r w:rsidR="00D54B54" w:rsidRPr="00E66E5B">
          <w:rPr>
            <w:rStyle w:val="Hyperlink"/>
            <w:rFonts w:cs="Arial"/>
            <w:b/>
            <w:caps/>
            <w:noProof/>
          </w:rPr>
          <w:t>III</w:t>
        </w:r>
        <w:r w:rsidR="00D54B54" w:rsidRPr="00E66E5B">
          <w:rPr>
            <w:rStyle w:val="Hyperlink"/>
            <w:rFonts w:cs="Arial"/>
            <w:b/>
            <w:noProof/>
          </w:rPr>
          <w:t>.E.</w:t>
        </w:r>
        <w:r w:rsidR="00D54B54" w:rsidRPr="00E66E5B">
          <w:rPr>
            <w:rStyle w:val="Hyperlink"/>
            <w:b/>
            <w:noProof/>
          </w:rPr>
          <w:t xml:space="preserve">  DCF Summary Results</w:t>
        </w:r>
        <w:r w:rsidR="00D54B54" w:rsidRPr="00E66E5B">
          <w:rPr>
            <w:b/>
            <w:noProof/>
            <w:webHidden/>
          </w:rPr>
          <w:tab/>
        </w:r>
        <w:r w:rsidR="00D54B54" w:rsidRPr="00E66E5B">
          <w:rPr>
            <w:b/>
            <w:noProof/>
            <w:webHidden/>
          </w:rPr>
          <w:fldChar w:fldCharType="begin"/>
        </w:r>
        <w:r w:rsidR="00D54B54" w:rsidRPr="00E66E5B">
          <w:rPr>
            <w:b/>
            <w:noProof/>
            <w:webHidden/>
          </w:rPr>
          <w:instrText xml:space="preserve"> PAGEREF _Toc85028732 \h </w:instrText>
        </w:r>
        <w:r w:rsidR="00D54B54" w:rsidRPr="00E66E5B">
          <w:rPr>
            <w:b/>
            <w:noProof/>
            <w:webHidden/>
          </w:rPr>
        </w:r>
        <w:r w:rsidR="00D54B54" w:rsidRPr="00E66E5B">
          <w:rPr>
            <w:b/>
            <w:noProof/>
            <w:webHidden/>
          </w:rPr>
          <w:fldChar w:fldCharType="separate"/>
        </w:r>
        <w:r w:rsidR="00BB02FE">
          <w:rPr>
            <w:b/>
            <w:noProof/>
            <w:webHidden/>
          </w:rPr>
          <w:t>37</w:t>
        </w:r>
        <w:r w:rsidR="00D54B54" w:rsidRPr="00E66E5B">
          <w:rPr>
            <w:b/>
            <w:noProof/>
            <w:webHidden/>
          </w:rPr>
          <w:fldChar w:fldCharType="end"/>
        </w:r>
      </w:hyperlink>
    </w:p>
    <w:p w14:paraId="4807D097" w14:textId="3CA3D376" w:rsidR="00D54B54" w:rsidRPr="00E66E5B" w:rsidRDefault="00BE2C24" w:rsidP="00D54B54">
      <w:pPr>
        <w:pStyle w:val="TOC2"/>
        <w:rPr>
          <w:rFonts w:asciiTheme="minorHAnsi" w:eastAsiaTheme="minorEastAsia" w:hAnsiTheme="minorHAnsi" w:cstheme="minorBidi"/>
          <w:b/>
          <w:noProof/>
          <w:szCs w:val="22"/>
        </w:rPr>
      </w:pPr>
      <w:hyperlink w:anchor="_Toc85028733" w:history="1">
        <w:r w:rsidR="00D54B54" w:rsidRPr="00E66E5B">
          <w:rPr>
            <w:rStyle w:val="Hyperlink"/>
            <w:rFonts w:cs="Arial"/>
            <w:b/>
            <w:caps/>
            <w:noProof/>
          </w:rPr>
          <w:t>III</w:t>
        </w:r>
        <w:r w:rsidR="00D54B54" w:rsidRPr="00E66E5B">
          <w:rPr>
            <w:rStyle w:val="Hyperlink"/>
            <w:rFonts w:cs="Arial"/>
            <w:b/>
            <w:noProof/>
          </w:rPr>
          <w:t>.F.</w:t>
        </w:r>
        <w:r w:rsidR="00D54B54" w:rsidRPr="00E66E5B">
          <w:rPr>
            <w:rStyle w:val="Hyperlink"/>
            <w:b/>
            <w:noProof/>
          </w:rPr>
          <w:t xml:space="preserve">  Risk Premium Model</w:t>
        </w:r>
        <w:r w:rsidR="00D54B54" w:rsidRPr="00E66E5B">
          <w:rPr>
            <w:b/>
            <w:noProof/>
            <w:webHidden/>
          </w:rPr>
          <w:tab/>
        </w:r>
        <w:r w:rsidR="00D54B54" w:rsidRPr="00E66E5B">
          <w:rPr>
            <w:b/>
            <w:noProof/>
            <w:webHidden/>
          </w:rPr>
          <w:fldChar w:fldCharType="begin"/>
        </w:r>
        <w:r w:rsidR="00D54B54" w:rsidRPr="00E66E5B">
          <w:rPr>
            <w:b/>
            <w:noProof/>
            <w:webHidden/>
          </w:rPr>
          <w:instrText xml:space="preserve"> PAGEREF _Toc85028733 \h </w:instrText>
        </w:r>
        <w:r w:rsidR="00D54B54" w:rsidRPr="00E66E5B">
          <w:rPr>
            <w:b/>
            <w:noProof/>
            <w:webHidden/>
          </w:rPr>
        </w:r>
        <w:r w:rsidR="00D54B54" w:rsidRPr="00E66E5B">
          <w:rPr>
            <w:b/>
            <w:noProof/>
            <w:webHidden/>
          </w:rPr>
          <w:fldChar w:fldCharType="separate"/>
        </w:r>
        <w:r w:rsidR="00BB02FE">
          <w:rPr>
            <w:b/>
            <w:noProof/>
            <w:webHidden/>
          </w:rPr>
          <w:t>37</w:t>
        </w:r>
        <w:r w:rsidR="00D54B54" w:rsidRPr="00E66E5B">
          <w:rPr>
            <w:b/>
            <w:noProof/>
            <w:webHidden/>
          </w:rPr>
          <w:fldChar w:fldCharType="end"/>
        </w:r>
      </w:hyperlink>
    </w:p>
    <w:p w14:paraId="6EDA01ED" w14:textId="76420DAD" w:rsidR="00D54B54" w:rsidRPr="00E66E5B" w:rsidRDefault="00BE2C24" w:rsidP="00D54B54">
      <w:pPr>
        <w:pStyle w:val="TOC2"/>
        <w:rPr>
          <w:rFonts w:asciiTheme="minorHAnsi" w:eastAsiaTheme="minorEastAsia" w:hAnsiTheme="minorHAnsi" w:cstheme="minorBidi"/>
          <w:b/>
          <w:noProof/>
          <w:szCs w:val="22"/>
        </w:rPr>
      </w:pPr>
      <w:hyperlink w:anchor="_Toc85028734" w:history="1">
        <w:r w:rsidR="00D54B54" w:rsidRPr="00E66E5B">
          <w:rPr>
            <w:rStyle w:val="Hyperlink"/>
            <w:b/>
            <w:noProof/>
          </w:rPr>
          <w:t>III.G.  Capital Asset Pricing Model (“CAPM”)</w:t>
        </w:r>
        <w:r w:rsidR="00D54B54" w:rsidRPr="00E66E5B">
          <w:rPr>
            <w:b/>
            <w:noProof/>
            <w:webHidden/>
          </w:rPr>
          <w:tab/>
        </w:r>
        <w:r w:rsidR="00D54B54" w:rsidRPr="00E66E5B">
          <w:rPr>
            <w:b/>
            <w:noProof/>
            <w:webHidden/>
          </w:rPr>
          <w:fldChar w:fldCharType="begin"/>
        </w:r>
        <w:r w:rsidR="00D54B54" w:rsidRPr="00E66E5B">
          <w:rPr>
            <w:b/>
            <w:noProof/>
            <w:webHidden/>
          </w:rPr>
          <w:instrText xml:space="preserve"> PAGEREF _Toc85028734 \h </w:instrText>
        </w:r>
        <w:r w:rsidR="00D54B54" w:rsidRPr="00E66E5B">
          <w:rPr>
            <w:b/>
            <w:noProof/>
            <w:webHidden/>
          </w:rPr>
        </w:r>
        <w:r w:rsidR="00D54B54" w:rsidRPr="00E66E5B">
          <w:rPr>
            <w:b/>
            <w:noProof/>
            <w:webHidden/>
          </w:rPr>
          <w:fldChar w:fldCharType="separate"/>
        </w:r>
        <w:r w:rsidR="00BB02FE">
          <w:rPr>
            <w:b/>
            <w:noProof/>
            <w:webHidden/>
          </w:rPr>
          <w:t>43</w:t>
        </w:r>
        <w:r w:rsidR="00D54B54" w:rsidRPr="00E66E5B">
          <w:rPr>
            <w:b/>
            <w:noProof/>
            <w:webHidden/>
          </w:rPr>
          <w:fldChar w:fldCharType="end"/>
        </w:r>
      </w:hyperlink>
    </w:p>
    <w:p w14:paraId="3C88CF78" w14:textId="11518167" w:rsidR="00D54B54" w:rsidRPr="00E66E5B" w:rsidRDefault="00BE2C24" w:rsidP="00D54B54">
      <w:pPr>
        <w:pStyle w:val="TOC2"/>
        <w:rPr>
          <w:rFonts w:asciiTheme="minorHAnsi" w:eastAsiaTheme="minorEastAsia" w:hAnsiTheme="minorHAnsi" w:cstheme="minorBidi"/>
          <w:b/>
          <w:noProof/>
          <w:szCs w:val="22"/>
        </w:rPr>
      </w:pPr>
      <w:hyperlink w:anchor="_Toc85028735" w:history="1">
        <w:r w:rsidR="00D54B54" w:rsidRPr="00E66E5B">
          <w:rPr>
            <w:rStyle w:val="Hyperlink"/>
            <w:rFonts w:cs="Arial"/>
            <w:b/>
            <w:caps/>
            <w:noProof/>
          </w:rPr>
          <w:t>III.H</w:t>
        </w:r>
        <w:r w:rsidR="00D54B54" w:rsidRPr="00E66E5B">
          <w:rPr>
            <w:rStyle w:val="Hyperlink"/>
            <w:rFonts w:cs="Arial"/>
            <w:b/>
            <w:noProof/>
          </w:rPr>
          <w:t>.</w:t>
        </w:r>
        <w:r w:rsidR="00D54B54" w:rsidRPr="00E66E5B">
          <w:rPr>
            <w:rStyle w:val="Hyperlink"/>
            <w:b/>
            <w:noProof/>
          </w:rPr>
          <w:t xml:space="preserve">  Return on Equity Summary</w:t>
        </w:r>
        <w:r w:rsidR="00D54B54" w:rsidRPr="00E66E5B">
          <w:rPr>
            <w:b/>
            <w:noProof/>
            <w:webHidden/>
          </w:rPr>
          <w:tab/>
        </w:r>
        <w:r w:rsidR="00D54B54" w:rsidRPr="00E66E5B">
          <w:rPr>
            <w:b/>
            <w:noProof/>
            <w:webHidden/>
          </w:rPr>
          <w:fldChar w:fldCharType="begin"/>
        </w:r>
        <w:r w:rsidR="00D54B54" w:rsidRPr="00E66E5B">
          <w:rPr>
            <w:b/>
            <w:noProof/>
            <w:webHidden/>
          </w:rPr>
          <w:instrText xml:space="preserve"> PAGEREF _Toc85028735 \h </w:instrText>
        </w:r>
        <w:r w:rsidR="00D54B54" w:rsidRPr="00E66E5B">
          <w:rPr>
            <w:b/>
            <w:noProof/>
            <w:webHidden/>
          </w:rPr>
        </w:r>
        <w:r w:rsidR="00D54B54" w:rsidRPr="00E66E5B">
          <w:rPr>
            <w:b/>
            <w:noProof/>
            <w:webHidden/>
          </w:rPr>
          <w:fldChar w:fldCharType="separate"/>
        </w:r>
        <w:r w:rsidR="00BB02FE">
          <w:rPr>
            <w:b/>
            <w:noProof/>
            <w:webHidden/>
          </w:rPr>
          <w:t>50</w:t>
        </w:r>
        <w:r w:rsidR="00D54B54" w:rsidRPr="00E66E5B">
          <w:rPr>
            <w:b/>
            <w:noProof/>
            <w:webHidden/>
          </w:rPr>
          <w:fldChar w:fldCharType="end"/>
        </w:r>
      </w:hyperlink>
    </w:p>
    <w:p w14:paraId="678BF77F" w14:textId="25A06683" w:rsidR="00D54B54" w:rsidRPr="00E66E5B" w:rsidRDefault="00BE2C24" w:rsidP="00D54B54">
      <w:pPr>
        <w:pStyle w:val="TOC1"/>
        <w:rPr>
          <w:rFonts w:asciiTheme="minorHAnsi" w:eastAsiaTheme="minorEastAsia" w:hAnsiTheme="minorHAnsi" w:cstheme="minorBidi"/>
          <w:szCs w:val="22"/>
        </w:rPr>
      </w:pPr>
      <w:hyperlink w:anchor="_Toc85028736" w:history="1">
        <w:r w:rsidR="00D54B54" w:rsidRPr="00E66E5B">
          <w:rPr>
            <w:rStyle w:val="Hyperlink"/>
          </w:rPr>
          <w:t>IV.  FINANCIAL INTEGRITY</w:t>
        </w:r>
        <w:r w:rsidR="00D54B54" w:rsidRPr="00E66E5B">
          <w:rPr>
            <w:webHidden/>
          </w:rPr>
          <w:tab/>
        </w:r>
        <w:r w:rsidR="00D54B54" w:rsidRPr="00E66E5B">
          <w:rPr>
            <w:webHidden/>
          </w:rPr>
          <w:fldChar w:fldCharType="begin"/>
        </w:r>
        <w:r w:rsidR="00D54B54" w:rsidRPr="00E66E5B">
          <w:rPr>
            <w:webHidden/>
          </w:rPr>
          <w:instrText xml:space="preserve"> PAGEREF _Toc85028736 \h </w:instrText>
        </w:r>
        <w:r w:rsidR="00D54B54" w:rsidRPr="00E66E5B">
          <w:rPr>
            <w:webHidden/>
          </w:rPr>
        </w:r>
        <w:r w:rsidR="00D54B54" w:rsidRPr="00E66E5B">
          <w:rPr>
            <w:webHidden/>
          </w:rPr>
          <w:fldChar w:fldCharType="separate"/>
        </w:r>
        <w:r w:rsidR="00BB02FE">
          <w:rPr>
            <w:webHidden/>
          </w:rPr>
          <w:t>51</w:t>
        </w:r>
        <w:r w:rsidR="00D54B54" w:rsidRPr="00E66E5B">
          <w:rPr>
            <w:webHidden/>
          </w:rPr>
          <w:fldChar w:fldCharType="end"/>
        </w:r>
      </w:hyperlink>
    </w:p>
    <w:p w14:paraId="7FA2B938" w14:textId="55B271EE" w:rsidR="00D54B54" w:rsidRPr="00E66E5B" w:rsidRDefault="00BE2C24" w:rsidP="00D54B54">
      <w:pPr>
        <w:pStyle w:val="TOC1"/>
        <w:rPr>
          <w:rFonts w:asciiTheme="minorHAnsi" w:eastAsiaTheme="minorEastAsia" w:hAnsiTheme="minorHAnsi" w:cstheme="minorBidi"/>
          <w:szCs w:val="22"/>
        </w:rPr>
      </w:pPr>
      <w:hyperlink w:anchor="_Toc85028737" w:history="1">
        <w:r w:rsidR="00D54B54" w:rsidRPr="00E66E5B">
          <w:rPr>
            <w:rStyle w:val="Hyperlink"/>
          </w:rPr>
          <w:t>V.  RESPONSE TO EPE WITNESS MS. NELSON</w:t>
        </w:r>
        <w:r w:rsidR="00D54B54" w:rsidRPr="00E66E5B">
          <w:rPr>
            <w:webHidden/>
          </w:rPr>
          <w:tab/>
        </w:r>
        <w:r w:rsidR="00D54B54" w:rsidRPr="00E66E5B">
          <w:rPr>
            <w:webHidden/>
          </w:rPr>
          <w:fldChar w:fldCharType="begin"/>
        </w:r>
        <w:r w:rsidR="00D54B54" w:rsidRPr="00E66E5B">
          <w:rPr>
            <w:webHidden/>
          </w:rPr>
          <w:instrText xml:space="preserve"> PAGEREF _Toc85028737 \h </w:instrText>
        </w:r>
        <w:r w:rsidR="00D54B54" w:rsidRPr="00E66E5B">
          <w:rPr>
            <w:webHidden/>
          </w:rPr>
        </w:r>
        <w:r w:rsidR="00D54B54" w:rsidRPr="00E66E5B">
          <w:rPr>
            <w:webHidden/>
          </w:rPr>
          <w:fldChar w:fldCharType="separate"/>
        </w:r>
        <w:r w:rsidR="00BB02FE">
          <w:rPr>
            <w:webHidden/>
          </w:rPr>
          <w:t>57</w:t>
        </w:r>
        <w:r w:rsidR="00D54B54" w:rsidRPr="00E66E5B">
          <w:rPr>
            <w:webHidden/>
          </w:rPr>
          <w:fldChar w:fldCharType="end"/>
        </w:r>
      </w:hyperlink>
    </w:p>
    <w:p w14:paraId="20A8A3BD" w14:textId="04C109AF" w:rsidR="00D54B54" w:rsidRPr="00E66E5B" w:rsidRDefault="00BE2C24" w:rsidP="00D54B54">
      <w:pPr>
        <w:pStyle w:val="TOC2"/>
        <w:rPr>
          <w:rFonts w:asciiTheme="minorHAnsi" w:eastAsiaTheme="minorEastAsia" w:hAnsiTheme="minorHAnsi" w:cstheme="minorBidi"/>
          <w:b/>
          <w:noProof/>
          <w:szCs w:val="22"/>
        </w:rPr>
      </w:pPr>
      <w:hyperlink w:anchor="_Toc85028738" w:history="1">
        <w:r w:rsidR="00D54B54" w:rsidRPr="00E66E5B">
          <w:rPr>
            <w:rStyle w:val="Hyperlink"/>
            <w:b/>
            <w:noProof/>
          </w:rPr>
          <w:t>V.A.  Reliability of DCF and CAPM Return Estimates</w:t>
        </w:r>
        <w:r w:rsidR="00D54B54" w:rsidRPr="00E66E5B">
          <w:rPr>
            <w:b/>
            <w:noProof/>
            <w:webHidden/>
          </w:rPr>
          <w:tab/>
        </w:r>
        <w:r w:rsidR="00D54B54" w:rsidRPr="00E66E5B">
          <w:rPr>
            <w:b/>
            <w:noProof/>
            <w:webHidden/>
          </w:rPr>
          <w:fldChar w:fldCharType="begin"/>
        </w:r>
        <w:r w:rsidR="00D54B54" w:rsidRPr="00E66E5B">
          <w:rPr>
            <w:b/>
            <w:noProof/>
            <w:webHidden/>
          </w:rPr>
          <w:instrText xml:space="preserve"> PAGEREF _Toc85028738 \h </w:instrText>
        </w:r>
        <w:r w:rsidR="00D54B54" w:rsidRPr="00E66E5B">
          <w:rPr>
            <w:b/>
            <w:noProof/>
            <w:webHidden/>
          </w:rPr>
        </w:r>
        <w:r w:rsidR="00D54B54" w:rsidRPr="00E66E5B">
          <w:rPr>
            <w:b/>
            <w:noProof/>
            <w:webHidden/>
          </w:rPr>
          <w:fldChar w:fldCharType="separate"/>
        </w:r>
        <w:r w:rsidR="00BB02FE">
          <w:rPr>
            <w:b/>
            <w:noProof/>
            <w:webHidden/>
          </w:rPr>
          <w:t>60</w:t>
        </w:r>
        <w:r w:rsidR="00D54B54" w:rsidRPr="00E66E5B">
          <w:rPr>
            <w:b/>
            <w:noProof/>
            <w:webHidden/>
          </w:rPr>
          <w:fldChar w:fldCharType="end"/>
        </w:r>
      </w:hyperlink>
    </w:p>
    <w:p w14:paraId="009E5006" w14:textId="34B5B87C" w:rsidR="00D54B54" w:rsidRPr="00E66E5B" w:rsidRDefault="00BE2C24" w:rsidP="00D54B54">
      <w:pPr>
        <w:pStyle w:val="TOC2"/>
        <w:rPr>
          <w:rFonts w:asciiTheme="minorHAnsi" w:eastAsiaTheme="minorEastAsia" w:hAnsiTheme="minorHAnsi" w:cstheme="minorBidi"/>
          <w:b/>
          <w:noProof/>
          <w:szCs w:val="22"/>
        </w:rPr>
      </w:pPr>
      <w:hyperlink w:anchor="_Toc85028739" w:history="1">
        <w:r w:rsidR="00D54B54" w:rsidRPr="00E66E5B">
          <w:rPr>
            <w:rStyle w:val="Hyperlink"/>
            <w:b/>
            <w:noProof/>
          </w:rPr>
          <w:t>V.B.  Nelson’s Constant Growth DCF Models</w:t>
        </w:r>
        <w:r w:rsidR="00D54B54" w:rsidRPr="00E66E5B">
          <w:rPr>
            <w:b/>
            <w:noProof/>
            <w:webHidden/>
          </w:rPr>
          <w:tab/>
        </w:r>
        <w:r w:rsidR="00D54B54" w:rsidRPr="00E66E5B">
          <w:rPr>
            <w:b/>
            <w:noProof/>
            <w:webHidden/>
          </w:rPr>
          <w:fldChar w:fldCharType="begin"/>
        </w:r>
        <w:r w:rsidR="00D54B54" w:rsidRPr="00E66E5B">
          <w:rPr>
            <w:b/>
            <w:noProof/>
            <w:webHidden/>
          </w:rPr>
          <w:instrText xml:space="preserve"> PAGEREF _Toc85028739 \h </w:instrText>
        </w:r>
        <w:r w:rsidR="00D54B54" w:rsidRPr="00E66E5B">
          <w:rPr>
            <w:b/>
            <w:noProof/>
            <w:webHidden/>
          </w:rPr>
        </w:r>
        <w:r w:rsidR="00D54B54" w:rsidRPr="00E66E5B">
          <w:rPr>
            <w:b/>
            <w:noProof/>
            <w:webHidden/>
          </w:rPr>
          <w:fldChar w:fldCharType="separate"/>
        </w:r>
        <w:r w:rsidR="00BB02FE">
          <w:rPr>
            <w:b/>
            <w:noProof/>
            <w:webHidden/>
          </w:rPr>
          <w:t>62</w:t>
        </w:r>
        <w:r w:rsidR="00D54B54" w:rsidRPr="00E66E5B">
          <w:rPr>
            <w:b/>
            <w:noProof/>
            <w:webHidden/>
          </w:rPr>
          <w:fldChar w:fldCharType="end"/>
        </w:r>
      </w:hyperlink>
    </w:p>
    <w:p w14:paraId="547098CC" w14:textId="6FCFEE09" w:rsidR="00D54B54" w:rsidRPr="00E66E5B" w:rsidRDefault="00BE2C24" w:rsidP="00D54B54">
      <w:pPr>
        <w:pStyle w:val="TOC2"/>
        <w:rPr>
          <w:rFonts w:asciiTheme="minorHAnsi" w:eastAsiaTheme="minorEastAsia" w:hAnsiTheme="minorHAnsi" w:cstheme="minorBidi"/>
          <w:b/>
          <w:noProof/>
          <w:szCs w:val="22"/>
        </w:rPr>
      </w:pPr>
      <w:hyperlink w:anchor="_Toc85028740" w:history="1">
        <w:r w:rsidR="00D54B54" w:rsidRPr="00E66E5B">
          <w:rPr>
            <w:rStyle w:val="Hyperlink"/>
            <w:b/>
            <w:noProof/>
          </w:rPr>
          <w:t>V.C.  Nelson’s CAPM Studies</w:t>
        </w:r>
        <w:r w:rsidR="00D54B54" w:rsidRPr="00E66E5B">
          <w:rPr>
            <w:b/>
            <w:noProof/>
            <w:webHidden/>
          </w:rPr>
          <w:tab/>
        </w:r>
        <w:r w:rsidR="00D54B54" w:rsidRPr="00E66E5B">
          <w:rPr>
            <w:b/>
            <w:noProof/>
            <w:webHidden/>
          </w:rPr>
          <w:fldChar w:fldCharType="begin"/>
        </w:r>
        <w:r w:rsidR="00D54B54" w:rsidRPr="00E66E5B">
          <w:rPr>
            <w:b/>
            <w:noProof/>
            <w:webHidden/>
          </w:rPr>
          <w:instrText xml:space="preserve"> PAGEREF _Toc85028740 \h </w:instrText>
        </w:r>
        <w:r w:rsidR="00D54B54" w:rsidRPr="00E66E5B">
          <w:rPr>
            <w:b/>
            <w:noProof/>
            <w:webHidden/>
          </w:rPr>
        </w:r>
        <w:r w:rsidR="00D54B54" w:rsidRPr="00E66E5B">
          <w:rPr>
            <w:b/>
            <w:noProof/>
            <w:webHidden/>
          </w:rPr>
          <w:fldChar w:fldCharType="separate"/>
        </w:r>
        <w:r w:rsidR="00BB02FE">
          <w:rPr>
            <w:b/>
            <w:noProof/>
            <w:webHidden/>
          </w:rPr>
          <w:t>64</w:t>
        </w:r>
        <w:r w:rsidR="00D54B54" w:rsidRPr="00E66E5B">
          <w:rPr>
            <w:b/>
            <w:noProof/>
            <w:webHidden/>
          </w:rPr>
          <w:fldChar w:fldCharType="end"/>
        </w:r>
      </w:hyperlink>
    </w:p>
    <w:p w14:paraId="7EA2A0CD" w14:textId="6E527469" w:rsidR="00D54B54" w:rsidRPr="00E66E5B" w:rsidRDefault="00BE2C24" w:rsidP="00D54B54">
      <w:pPr>
        <w:pStyle w:val="TOC2"/>
        <w:rPr>
          <w:rFonts w:asciiTheme="minorHAnsi" w:eastAsiaTheme="minorEastAsia" w:hAnsiTheme="minorHAnsi" w:cstheme="minorBidi"/>
          <w:b/>
          <w:noProof/>
          <w:szCs w:val="22"/>
        </w:rPr>
      </w:pPr>
      <w:hyperlink w:anchor="_Toc85028741" w:history="1">
        <w:r w:rsidR="00D54B54" w:rsidRPr="00E66E5B">
          <w:rPr>
            <w:rStyle w:val="Hyperlink"/>
            <w:b/>
            <w:noProof/>
          </w:rPr>
          <w:t>V.D.  Nelson’s ECAPM Studies</w:t>
        </w:r>
        <w:r w:rsidR="00D54B54" w:rsidRPr="00E66E5B">
          <w:rPr>
            <w:b/>
            <w:noProof/>
            <w:webHidden/>
          </w:rPr>
          <w:tab/>
        </w:r>
        <w:r w:rsidR="00D54B54" w:rsidRPr="00E66E5B">
          <w:rPr>
            <w:b/>
            <w:noProof/>
            <w:webHidden/>
          </w:rPr>
          <w:fldChar w:fldCharType="begin"/>
        </w:r>
        <w:r w:rsidR="00D54B54" w:rsidRPr="00E66E5B">
          <w:rPr>
            <w:b/>
            <w:noProof/>
            <w:webHidden/>
          </w:rPr>
          <w:instrText xml:space="preserve"> PAGEREF _Toc85028741 \h </w:instrText>
        </w:r>
        <w:r w:rsidR="00D54B54" w:rsidRPr="00E66E5B">
          <w:rPr>
            <w:b/>
            <w:noProof/>
            <w:webHidden/>
          </w:rPr>
        </w:r>
        <w:r w:rsidR="00D54B54" w:rsidRPr="00E66E5B">
          <w:rPr>
            <w:b/>
            <w:noProof/>
            <w:webHidden/>
          </w:rPr>
          <w:fldChar w:fldCharType="separate"/>
        </w:r>
        <w:r w:rsidR="00BB02FE">
          <w:rPr>
            <w:b/>
            <w:noProof/>
            <w:webHidden/>
          </w:rPr>
          <w:t>70</w:t>
        </w:r>
        <w:r w:rsidR="00D54B54" w:rsidRPr="00E66E5B">
          <w:rPr>
            <w:b/>
            <w:noProof/>
            <w:webHidden/>
          </w:rPr>
          <w:fldChar w:fldCharType="end"/>
        </w:r>
      </w:hyperlink>
    </w:p>
    <w:p w14:paraId="3FFFC3D8" w14:textId="4047055C" w:rsidR="00D54B54" w:rsidRPr="00E66E5B" w:rsidRDefault="00BE2C24" w:rsidP="00D54B54">
      <w:pPr>
        <w:pStyle w:val="TOC2"/>
        <w:rPr>
          <w:rFonts w:asciiTheme="minorHAnsi" w:eastAsiaTheme="minorEastAsia" w:hAnsiTheme="minorHAnsi" w:cstheme="minorBidi"/>
          <w:b/>
          <w:noProof/>
          <w:szCs w:val="22"/>
        </w:rPr>
      </w:pPr>
      <w:hyperlink w:anchor="_Toc85028742" w:history="1">
        <w:r w:rsidR="00D54B54" w:rsidRPr="00E66E5B">
          <w:rPr>
            <w:rStyle w:val="Hyperlink"/>
            <w:b/>
            <w:noProof/>
          </w:rPr>
          <w:t>V.E. Nelson’s Bond Yield Plus (“BYP”) Risk Premium</w:t>
        </w:r>
        <w:r w:rsidR="00D54B54" w:rsidRPr="00E66E5B">
          <w:rPr>
            <w:b/>
            <w:noProof/>
            <w:webHidden/>
          </w:rPr>
          <w:tab/>
        </w:r>
        <w:r w:rsidR="00D54B54" w:rsidRPr="00E66E5B">
          <w:rPr>
            <w:b/>
            <w:noProof/>
            <w:webHidden/>
          </w:rPr>
          <w:fldChar w:fldCharType="begin"/>
        </w:r>
        <w:r w:rsidR="00D54B54" w:rsidRPr="00E66E5B">
          <w:rPr>
            <w:b/>
            <w:noProof/>
            <w:webHidden/>
          </w:rPr>
          <w:instrText xml:space="preserve"> PAGEREF _Toc85028742 \h </w:instrText>
        </w:r>
        <w:r w:rsidR="00D54B54" w:rsidRPr="00E66E5B">
          <w:rPr>
            <w:b/>
            <w:noProof/>
            <w:webHidden/>
          </w:rPr>
        </w:r>
        <w:r w:rsidR="00D54B54" w:rsidRPr="00E66E5B">
          <w:rPr>
            <w:b/>
            <w:noProof/>
            <w:webHidden/>
          </w:rPr>
          <w:fldChar w:fldCharType="separate"/>
        </w:r>
        <w:r w:rsidR="00BB02FE">
          <w:rPr>
            <w:b/>
            <w:noProof/>
            <w:webHidden/>
          </w:rPr>
          <w:t>74</w:t>
        </w:r>
        <w:r w:rsidR="00D54B54" w:rsidRPr="00E66E5B">
          <w:rPr>
            <w:b/>
            <w:noProof/>
            <w:webHidden/>
          </w:rPr>
          <w:fldChar w:fldCharType="end"/>
        </w:r>
      </w:hyperlink>
    </w:p>
    <w:p w14:paraId="52091A8C" w14:textId="0B91E72F" w:rsidR="00D54B54" w:rsidRPr="00E66E5B" w:rsidRDefault="00BE2C24" w:rsidP="00D54B54">
      <w:pPr>
        <w:pStyle w:val="TOC2"/>
        <w:rPr>
          <w:rFonts w:asciiTheme="minorHAnsi" w:eastAsiaTheme="minorEastAsia" w:hAnsiTheme="minorHAnsi" w:cstheme="minorBidi"/>
          <w:b/>
          <w:noProof/>
          <w:szCs w:val="22"/>
        </w:rPr>
      </w:pPr>
      <w:hyperlink w:anchor="_Toc85028743" w:history="1">
        <w:r w:rsidR="00D54B54" w:rsidRPr="00E66E5B">
          <w:rPr>
            <w:rStyle w:val="Hyperlink"/>
            <w:b/>
            <w:noProof/>
          </w:rPr>
          <w:t>V.F.  Ms. Nelson’s Consideration of Additional Risks</w:t>
        </w:r>
        <w:r w:rsidR="00D54B54" w:rsidRPr="00E66E5B">
          <w:rPr>
            <w:b/>
            <w:noProof/>
            <w:webHidden/>
          </w:rPr>
          <w:tab/>
        </w:r>
        <w:r w:rsidR="00D54B54" w:rsidRPr="00E66E5B">
          <w:rPr>
            <w:b/>
            <w:noProof/>
            <w:webHidden/>
          </w:rPr>
          <w:fldChar w:fldCharType="begin"/>
        </w:r>
        <w:r w:rsidR="00D54B54" w:rsidRPr="00E66E5B">
          <w:rPr>
            <w:b/>
            <w:noProof/>
            <w:webHidden/>
          </w:rPr>
          <w:instrText xml:space="preserve"> PAGEREF _Toc85028743 \h </w:instrText>
        </w:r>
        <w:r w:rsidR="00D54B54" w:rsidRPr="00E66E5B">
          <w:rPr>
            <w:b/>
            <w:noProof/>
            <w:webHidden/>
          </w:rPr>
        </w:r>
        <w:r w:rsidR="00D54B54" w:rsidRPr="00E66E5B">
          <w:rPr>
            <w:b/>
            <w:noProof/>
            <w:webHidden/>
          </w:rPr>
          <w:fldChar w:fldCharType="separate"/>
        </w:r>
        <w:r w:rsidR="00BB02FE">
          <w:rPr>
            <w:b/>
            <w:noProof/>
            <w:webHidden/>
          </w:rPr>
          <w:t>76</w:t>
        </w:r>
        <w:r w:rsidR="00D54B54" w:rsidRPr="00E66E5B">
          <w:rPr>
            <w:b/>
            <w:noProof/>
            <w:webHidden/>
          </w:rPr>
          <w:fldChar w:fldCharType="end"/>
        </w:r>
      </w:hyperlink>
    </w:p>
    <w:p w14:paraId="424C47F9" w14:textId="07B7BF96" w:rsidR="00D54B54" w:rsidRPr="00E66E5B" w:rsidRDefault="00BE2C24" w:rsidP="00D54B54">
      <w:pPr>
        <w:pStyle w:val="TOC2"/>
        <w:ind w:left="900"/>
        <w:rPr>
          <w:rFonts w:asciiTheme="minorHAnsi" w:eastAsiaTheme="minorEastAsia" w:hAnsiTheme="minorHAnsi" w:cstheme="minorBidi"/>
          <w:b/>
          <w:noProof/>
          <w:szCs w:val="22"/>
        </w:rPr>
      </w:pPr>
      <w:hyperlink w:anchor="_Toc85028744" w:history="1">
        <w:r w:rsidR="00D54B54" w:rsidRPr="00E66E5B">
          <w:rPr>
            <w:rStyle w:val="Hyperlink"/>
            <w:b/>
            <w:noProof/>
          </w:rPr>
          <w:t>V.F.1.  Size Adjustment</w:t>
        </w:r>
        <w:r w:rsidR="00D54B54" w:rsidRPr="00E66E5B">
          <w:rPr>
            <w:b/>
            <w:noProof/>
            <w:webHidden/>
          </w:rPr>
          <w:tab/>
        </w:r>
        <w:r w:rsidR="00D54B54" w:rsidRPr="00E66E5B">
          <w:rPr>
            <w:b/>
            <w:noProof/>
            <w:webHidden/>
          </w:rPr>
          <w:fldChar w:fldCharType="begin"/>
        </w:r>
        <w:r w:rsidR="00D54B54" w:rsidRPr="00E66E5B">
          <w:rPr>
            <w:b/>
            <w:noProof/>
            <w:webHidden/>
          </w:rPr>
          <w:instrText xml:space="preserve"> PAGEREF _Toc85028744 \h </w:instrText>
        </w:r>
        <w:r w:rsidR="00D54B54" w:rsidRPr="00E66E5B">
          <w:rPr>
            <w:b/>
            <w:noProof/>
            <w:webHidden/>
          </w:rPr>
        </w:r>
        <w:r w:rsidR="00D54B54" w:rsidRPr="00E66E5B">
          <w:rPr>
            <w:b/>
            <w:noProof/>
            <w:webHidden/>
          </w:rPr>
          <w:fldChar w:fldCharType="separate"/>
        </w:r>
        <w:r w:rsidR="00BB02FE">
          <w:rPr>
            <w:b/>
            <w:noProof/>
            <w:webHidden/>
          </w:rPr>
          <w:t>78</w:t>
        </w:r>
        <w:r w:rsidR="00D54B54" w:rsidRPr="00E66E5B">
          <w:rPr>
            <w:b/>
            <w:noProof/>
            <w:webHidden/>
          </w:rPr>
          <w:fldChar w:fldCharType="end"/>
        </w:r>
      </w:hyperlink>
    </w:p>
    <w:p w14:paraId="0371F081" w14:textId="66C45937" w:rsidR="00D54B54" w:rsidRPr="00E66E5B" w:rsidRDefault="00BE2C24" w:rsidP="00D54B54">
      <w:pPr>
        <w:pStyle w:val="TOC2"/>
        <w:ind w:left="900"/>
        <w:rPr>
          <w:rFonts w:asciiTheme="minorHAnsi" w:eastAsiaTheme="minorEastAsia" w:hAnsiTheme="minorHAnsi" w:cstheme="minorBidi"/>
          <w:b/>
          <w:noProof/>
          <w:szCs w:val="22"/>
        </w:rPr>
      </w:pPr>
      <w:hyperlink w:anchor="_Toc85028745" w:history="1">
        <w:r w:rsidR="00D54B54" w:rsidRPr="00E66E5B">
          <w:rPr>
            <w:rStyle w:val="Hyperlink"/>
            <w:b/>
            <w:noProof/>
          </w:rPr>
          <w:t>V.F.2.  Capital Market Conditions</w:t>
        </w:r>
        <w:r w:rsidR="00D54B54" w:rsidRPr="00E66E5B">
          <w:rPr>
            <w:b/>
            <w:noProof/>
            <w:webHidden/>
          </w:rPr>
          <w:tab/>
        </w:r>
        <w:r w:rsidR="00D54B54" w:rsidRPr="00E66E5B">
          <w:rPr>
            <w:b/>
            <w:noProof/>
            <w:webHidden/>
          </w:rPr>
          <w:fldChar w:fldCharType="begin"/>
        </w:r>
        <w:r w:rsidR="00D54B54" w:rsidRPr="00E66E5B">
          <w:rPr>
            <w:b/>
            <w:noProof/>
            <w:webHidden/>
          </w:rPr>
          <w:instrText xml:space="preserve"> PAGEREF _Toc85028745 \h </w:instrText>
        </w:r>
        <w:r w:rsidR="00D54B54" w:rsidRPr="00E66E5B">
          <w:rPr>
            <w:b/>
            <w:noProof/>
            <w:webHidden/>
          </w:rPr>
        </w:r>
        <w:r w:rsidR="00D54B54" w:rsidRPr="00E66E5B">
          <w:rPr>
            <w:b/>
            <w:noProof/>
            <w:webHidden/>
          </w:rPr>
          <w:fldChar w:fldCharType="separate"/>
        </w:r>
        <w:r w:rsidR="00BB02FE">
          <w:rPr>
            <w:b/>
            <w:noProof/>
            <w:webHidden/>
          </w:rPr>
          <w:t>79</w:t>
        </w:r>
        <w:r w:rsidR="00D54B54" w:rsidRPr="00E66E5B">
          <w:rPr>
            <w:b/>
            <w:noProof/>
            <w:webHidden/>
          </w:rPr>
          <w:fldChar w:fldCharType="end"/>
        </w:r>
      </w:hyperlink>
    </w:p>
    <w:p w14:paraId="45243E8F" w14:textId="77777777" w:rsidR="00D54B54" w:rsidRPr="000A0BD9" w:rsidRDefault="00D54B54" w:rsidP="00D54B54">
      <w:pPr>
        <w:tabs>
          <w:tab w:val="left" w:pos="360"/>
          <w:tab w:val="left" w:pos="900"/>
          <w:tab w:val="right" w:leader="dot" w:pos="9360"/>
        </w:tabs>
        <w:spacing w:after="120"/>
        <w:rPr>
          <w:rFonts w:cs="Arial"/>
          <w:b/>
          <w:bCs/>
          <w:szCs w:val="22"/>
        </w:rPr>
      </w:pPr>
      <w:r w:rsidRPr="00E66E5B">
        <w:rPr>
          <w:b/>
        </w:rPr>
        <w:fldChar w:fldCharType="end"/>
      </w:r>
      <w:r w:rsidRPr="000A0BD9">
        <w:rPr>
          <w:rFonts w:cs="Arial"/>
          <w:b/>
          <w:bCs/>
          <w:szCs w:val="22"/>
        </w:rPr>
        <w:t>QUALIFICATIONS OF MICHAEL P. GORMAN</w:t>
      </w:r>
      <w:r w:rsidRPr="000A0BD9">
        <w:rPr>
          <w:rFonts w:cs="Arial"/>
          <w:b/>
          <w:bCs/>
          <w:szCs w:val="22"/>
        </w:rPr>
        <w:tab/>
        <w:t>Appendix A</w:t>
      </w:r>
    </w:p>
    <w:p w14:paraId="1A80C88C" w14:textId="77777777" w:rsidR="00D54B54" w:rsidRPr="000A0BD9" w:rsidRDefault="00D54B54" w:rsidP="00D54B54">
      <w:pPr>
        <w:tabs>
          <w:tab w:val="left" w:pos="1710"/>
        </w:tabs>
        <w:rPr>
          <w:b/>
          <w:szCs w:val="22"/>
        </w:rPr>
      </w:pPr>
      <w:r w:rsidRPr="00E92E03">
        <w:rPr>
          <w:b/>
          <w:szCs w:val="22"/>
        </w:rPr>
        <w:t>Exhibit MPG-1 thru Exhibit MPG-21</w:t>
      </w:r>
    </w:p>
    <w:p w14:paraId="599A591B" w14:textId="77777777" w:rsidR="00D54B54" w:rsidRPr="00ED4C86" w:rsidRDefault="00D54B54" w:rsidP="00D54B54">
      <w:pPr>
        <w:tabs>
          <w:tab w:val="left" w:pos="1710"/>
        </w:tabs>
        <w:rPr>
          <w:szCs w:val="22"/>
        </w:rPr>
        <w:sectPr w:rsidR="00D54B54" w:rsidRPr="00ED4C86">
          <w:footerReference w:type="default" r:id="rId11"/>
          <w:headerReference w:type="first" r:id="rId12"/>
          <w:footerReference w:type="first" r:id="rId13"/>
          <w:endnotePr>
            <w:numFmt w:val="decimal"/>
          </w:endnotePr>
          <w:pgSz w:w="12240" w:h="15840" w:code="1"/>
          <w:pgMar w:top="1440" w:right="1440" w:bottom="1152" w:left="1440" w:header="576" w:footer="576" w:gutter="0"/>
          <w:cols w:space="720"/>
          <w:noEndnote/>
        </w:sectPr>
      </w:pPr>
    </w:p>
    <w:p w14:paraId="11594E22" w14:textId="77777777" w:rsidR="00D54B54" w:rsidRDefault="00D54B54" w:rsidP="00D54B54">
      <w:pPr>
        <w:jc w:val="center"/>
        <w:rPr>
          <w:b/>
        </w:rPr>
      </w:pPr>
      <w:bookmarkStart w:id="0" w:name="_Toc493065596"/>
      <w:bookmarkStart w:id="1" w:name="_Toc493065695"/>
      <w:bookmarkStart w:id="2" w:name="_Toc493065914"/>
      <w:bookmarkStart w:id="3" w:name="_Toc493581744"/>
      <w:bookmarkStart w:id="4" w:name="_Toc493906661"/>
      <w:bookmarkStart w:id="5" w:name="_Toc493906924"/>
      <w:bookmarkStart w:id="6" w:name="_Toc493921513"/>
      <w:bookmarkStart w:id="7" w:name="_Toc375225361"/>
      <w:bookmarkStart w:id="8" w:name="_Toc457989096"/>
      <w:proofErr w:type="spellStart"/>
      <w:r w:rsidRPr="00ED4C86">
        <w:rPr>
          <w:b/>
          <w:sz w:val="24"/>
          <w:szCs w:val="24"/>
        </w:rPr>
        <w:lastRenderedPageBreak/>
        <w:t>SOAH</w:t>
      </w:r>
      <w:proofErr w:type="spellEnd"/>
      <w:r w:rsidRPr="00ED4C86">
        <w:rPr>
          <w:b/>
          <w:sz w:val="24"/>
          <w:szCs w:val="24"/>
        </w:rPr>
        <w:t xml:space="preserve"> DOCKET NO. </w:t>
      </w:r>
      <w:r>
        <w:rPr>
          <w:b/>
        </w:rPr>
        <w:t>473-21-2606</w:t>
      </w:r>
    </w:p>
    <w:p w14:paraId="2A17225A" w14:textId="77777777" w:rsidR="00D54B54" w:rsidRPr="00ED4C86" w:rsidRDefault="00D54B54" w:rsidP="00D54B54">
      <w:pPr>
        <w:jc w:val="center"/>
        <w:rPr>
          <w:b/>
          <w:sz w:val="24"/>
        </w:rPr>
      </w:pPr>
      <w:r w:rsidRPr="00ED4C86">
        <w:rPr>
          <w:b/>
          <w:sz w:val="24"/>
          <w:szCs w:val="24"/>
        </w:rPr>
        <w:t xml:space="preserve">PUC DOCKET NO. </w:t>
      </w:r>
      <w:r>
        <w:rPr>
          <w:b/>
          <w:sz w:val="24"/>
          <w:szCs w:val="24"/>
        </w:rPr>
        <w:t>52195</w:t>
      </w:r>
    </w:p>
    <w:p w14:paraId="548DB2C8" w14:textId="77777777" w:rsidR="00D54B54" w:rsidRPr="00ED4C86" w:rsidRDefault="00D54B54" w:rsidP="00D54B54">
      <w:pPr>
        <w:jc w:val="center"/>
      </w:pPr>
    </w:p>
    <w:p w14:paraId="5B10858F" w14:textId="77777777" w:rsidR="00D54B54" w:rsidRPr="00ED4C86" w:rsidRDefault="00D54B54" w:rsidP="00D54B54">
      <w:pPr>
        <w:jc w:val="center"/>
      </w:pPr>
    </w:p>
    <w:tbl>
      <w:tblPr>
        <w:tblW w:w="8486" w:type="dxa"/>
        <w:tblInd w:w="558" w:type="dxa"/>
        <w:tblLook w:val="0000" w:firstRow="0" w:lastRow="0" w:firstColumn="0" w:lastColumn="0" w:noHBand="0" w:noVBand="0"/>
      </w:tblPr>
      <w:tblGrid>
        <w:gridCol w:w="4032"/>
        <w:gridCol w:w="296"/>
        <w:gridCol w:w="4158"/>
      </w:tblGrid>
      <w:tr w:rsidR="00D54B54" w14:paraId="6560AFBA" w14:textId="77777777" w:rsidTr="006435B1">
        <w:tc>
          <w:tcPr>
            <w:tcW w:w="4032" w:type="dxa"/>
            <w:tcBorders>
              <w:top w:val="single" w:sz="4" w:space="0" w:color="auto"/>
              <w:bottom w:val="single" w:sz="4" w:space="0" w:color="auto"/>
            </w:tcBorders>
          </w:tcPr>
          <w:p w14:paraId="23E0B62A" w14:textId="77777777" w:rsidR="00D54B54" w:rsidRPr="00ED4C86" w:rsidRDefault="00D54B54" w:rsidP="006435B1">
            <w:pPr>
              <w:jc w:val="center"/>
              <w:rPr>
                <w:rFonts w:cs="Arial"/>
                <w:b/>
                <w:sz w:val="24"/>
                <w:szCs w:val="24"/>
              </w:rPr>
            </w:pPr>
          </w:p>
          <w:p w14:paraId="7EB91C5B" w14:textId="77777777" w:rsidR="00D54B54" w:rsidRPr="00ED4C86" w:rsidRDefault="00D54B54" w:rsidP="006435B1">
            <w:pPr>
              <w:rPr>
                <w:b/>
                <w:sz w:val="24"/>
                <w:szCs w:val="24"/>
              </w:rPr>
            </w:pPr>
            <w:r w:rsidRPr="00ED4C86">
              <w:rPr>
                <w:b/>
                <w:sz w:val="24"/>
                <w:szCs w:val="24"/>
              </w:rPr>
              <w:t xml:space="preserve">APPLICATION OF </w:t>
            </w:r>
            <w:r>
              <w:rPr>
                <w:b/>
                <w:sz w:val="24"/>
                <w:szCs w:val="24"/>
              </w:rPr>
              <w:t>EL PASO ELECTRIC COMPANY</w:t>
            </w:r>
            <w:r w:rsidRPr="00ED4C86">
              <w:rPr>
                <w:b/>
                <w:sz w:val="24"/>
                <w:szCs w:val="24"/>
              </w:rPr>
              <w:t xml:space="preserve"> TO CHANGE RATES </w:t>
            </w:r>
          </w:p>
        </w:tc>
        <w:tc>
          <w:tcPr>
            <w:tcW w:w="296" w:type="dxa"/>
          </w:tcPr>
          <w:p w14:paraId="1E81CA9E" w14:textId="77777777" w:rsidR="00D54B54" w:rsidRPr="00ED4C86" w:rsidRDefault="00D54B54" w:rsidP="006435B1">
            <w:pPr>
              <w:jc w:val="center"/>
              <w:rPr>
                <w:b/>
                <w:sz w:val="24"/>
                <w:szCs w:val="24"/>
              </w:rPr>
            </w:pPr>
            <w:r w:rsidRPr="00ED4C86">
              <w:rPr>
                <w:b/>
                <w:sz w:val="24"/>
                <w:szCs w:val="24"/>
              </w:rPr>
              <w:t>)</w:t>
            </w:r>
          </w:p>
          <w:p w14:paraId="7446D71A" w14:textId="77777777" w:rsidR="00D54B54" w:rsidRPr="00ED4C86" w:rsidRDefault="00D54B54" w:rsidP="006435B1">
            <w:pPr>
              <w:jc w:val="center"/>
              <w:rPr>
                <w:b/>
                <w:sz w:val="24"/>
                <w:szCs w:val="24"/>
              </w:rPr>
            </w:pPr>
            <w:r w:rsidRPr="00ED4C86">
              <w:rPr>
                <w:b/>
                <w:sz w:val="24"/>
                <w:szCs w:val="24"/>
              </w:rPr>
              <w:t>)</w:t>
            </w:r>
          </w:p>
          <w:p w14:paraId="5CB6FA21" w14:textId="77777777" w:rsidR="00D54B54" w:rsidRPr="00ED4C86" w:rsidRDefault="00D54B54" w:rsidP="006435B1">
            <w:pPr>
              <w:jc w:val="center"/>
              <w:rPr>
                <w:b/>
                <w:sz w:val="24"/>
                <w:szCs w:val="24"/>
              </w:rPr>
            </w:pPr>
            <w:r w:rsidRPr="00ED4C86">
              <w:rPr>
                <w:b/>
                <w:sz w:val="24"/>
                <w:szCs w:val="24"/>
              </w:rPr>
              <w:t>)</w:t>
            </w:r>
          </w:p>
          <w:p w14:paraId="72A69D3A" w14:textId="77777777" w:rsidR="00D54B54" w:rsidRPr="00ED4C86" w:rsidRDefault="00D54B54" w:rsidP="006435B1">
            <w:pPr>
              <w:jc w:val="center"/>
              <w:rPr>
                <w:b/>
                <w:sz w:val="24"/>
                <w:szCs w:val="24"/>
              </w:rPr>
            </w:pPr>
            <w:r w:rsidRPr="00ED4C86">
              <w:rPr>
                <w:b/>
                <w:sz w:val="24"/>
                <w:szCs w:val="24"/>
              </w:rPr>
              <w:t>)</w:t>
            </w:r>
          </w:p>
        </w:tc>
        <w:tc>
          <w:tcPr>
            <w:tcW w:w="4158" w:type="dxa"/>
          </w:tcPr>
          <w:p w14:paraId="7CEAA0B8" w14:textId="77777777" w:rsidR="00D54B54" w:rsidRPr="00ED4C86" w:rsidRDefault="00D54B54" w:rsidP="006435B1">
            <w:pPr>
              <w:jc w:val="center"/>
              <w:rPr>
                <w:b/>
                <w:sz w:val="24"/>
                <w:szCs w:val="24"/>
              </w:rPr>
            </w:pPr>
          </w:p>
          <w:p w14:paraId="5024AD5A" w14:textId="77777777" w:rsidR="00D54B54" w:rsidRDefault="00D54B54" w:rsidP="006435B1">
            <w:pPr>
              <w:jc w:val="center"/>
              <w:rPr>
                <w:b/>
                <w:sz w:val="24"/>
                <w:szCs w:val="24"/>
              </w:rPr>
            </w:pPr>
            <w:r w:rsidRPr="00ED4C86">
              <w:rPr>
                <w:b/>
                <w:sz w:val="24"/>
                <w:szCs w:val="24"/>
              </w:rPr>
              <w:t>BEFORE THE</w:t>
            </w:r>
            <w:r>
              <w:rPr>
                <w:b/>
                <w:sz w:val="24"/>
                <w:szCs w:val="24"/>
              </w:rPr>
              <w:t xml:space="preserve"> STATE OFFICE</w:t>
            </w:r>
          </w:p>
          <w:p w14:paraId="2A1B2EF0" w14:textId="77777777" w:rsidR="00D54B54" w:rsidRDefault="00D54B54" w:rsidP="006435B1">
            <w:pPr>
              <w:jc w:val="center"/>
              <w:rPr>
                <w:b/>
                <w:sz w:val="24"/>
                <w:szCs w:val="24"/>
              </w:rPr>
            </w:pPr>
            <w:r>
              <w:rPr>
                <w:b/>
                <w:sz w:val="24"/>
                <w:szCs w:val="24"/>
              </w:rPr>
              <w:t>OF</w:t>
            </w:r>
          </w:p>
          <w:p w14:paraId="6FE46D79" w14:textId="77777777" w:rsidR="00D54B54" w:rsidRPr="00ED4C86" w:rsidRDefault="00D54B54" w:rsidP="006435B1">
            <w:pPr>
              <w:jc w:val="center"/>
              <w:rPr>
                <w:b/>
                <w:sz w:val="24"/>
                <w:szCs w:val="24"/>
              </w:rPr>
            </w:pPr>
            <w:r>
              <w:rPr>
                <w:b/>
                <w:sz w:val="24"/>
                <w:szCs w:val="24"/>
              </w:rPr>
              <w:t>ADMINISTRATIVE HEARINGS</w:t>
            </w:r>
          </w:p>
          <w:p w14:paraId="2948B551" w14:textId="77777777" w:rsidR="00D54B54" w:rsidRPr="00ED4C86" w:rsidRDefault="00D54B54" w:rsidP="006435B1">
            <w:pPr>
              <w:jc w:val="center"/>
              <w:rPr>
                <w:b/>
                <w:szCs w:val="24"/>
              </w:rPr>
            </w:pPr>
          </w:p>
        </w:tc>
      </w:tr>
    </w:tbl>
    <w:p w14:paraId="49426177" w14:textId="77777777" w:rsidR="00D54B54" w:rsidRPr="00ED4C86" w:rsidRDefault="00D54B54" w:rsidP="00D54B54">
      <w:pPr>
        <w:jc w:val="both"/>
        <w:rPr>
          <w:szCs w:val="22"/>
        </w:rPr>
      </w:pPr>
      <w:r w:rsidRPr="00ED4C86">
        <w:rPr>
          <w:szCs w:val="22"/>
        </w:rPr>
        <w:t xml:space="preserve"> </w:t>
      </w:r>
    </w:p>
    <w:p w14:paraId="12A1E57B" w14:textId="77777777" w:rsidR="00D54B54" w:rsidRPr="00ED4C86" w:rsidRDefault="00D54B54" w:rsidP="00D54B54">
      <w:pPr>
        <w:jc w:val="both"/>
        <w:rPr>
          <w:szCs w:val="22"/>
        </w:rPr>
      </w:pPr>
    </w:p>
    <w:p w14:paraId="67ED4B97" w14:textId="77777777" w:rsidR="00D54B54" w:rsidRPr="00ED4C86" w:rsidRDefault="00D54B54" w:rsidP="00D54B54">
      <w:pPr>
        <w:keepNext/>
        <w:spacing w:line="480" w:lineRule="auto"/>
        <w:jc w:val="center"/>
        <w:outlineLvl w:val="0"/>
        <w:rPr>
          <w:b/>
          <w:sz w:val="26"/>
          <w:szCs w:val="26"/>
          <w:u w:val="single"/>
        </w:rPr>
      </w:pPr>
      <w:bookmarkStart w:id="9" w:name="_Toc85028717"/>
      <w:r w:rsidRPr="00ED4C86">
        <w:rPr>
          <w:b/>
          <w:sz w:val="26"/>
          <w:szCs w:val="26"/>
          <w:u w:val="single"/>
        </w:rPr>
        <w:t xml:space="preserve">Affidavit of </w:t>
      </w:r>
      <w:bookmarkEnd w:id="0"/>
      <w:bookmarkEnd w:id="1"/>
      <w:bookmarkEnd w:id="2"/>
      <w:bookmarkEnd w:id="3"/>
      <w:bookmarkEnd w:id="4"/>
      <w:bookmarkEnd w:id="5"/>
      <w:bookmarkEnd w:id="6"/>
      <w:r w:rsidRPr="00ED4C86">
        <w:rPr>
          <w:b/>
          <w:sz w:val="26"/>
          <w:szCs w:val="26"/>
          <w:u w:val="single"/>
        </w:rPr>
        <w:t>Michael P. Gorman</w:t>
      </w:r>
      <w:bookmarkEnd w:id="7"/>
      <w:bookmarkEnd w:id="8"/>
      <w:bookmarkEnd w:id="9"/>
    </w:p>
    <w:p w14:paraId="1579CAA2" w14:textId="77777777" w:rsidR="00D54B54" w:rsidRPr="00ED4C86" w:rsidRDefault="00D54B54" w:rsidP="00D54B54"/>
    <w:p w14:paraId="7C5F561B" w14:textId="77777777" w:rsidR="00D54B54" w:rsidRPr="00ED4C86" w:rsidRDefault="00D54B54" w:rsidP="00D54B54">
      <w:pPr>
        <w:rPr>
          <w:b/>
          <w:sz w:val="24"/>
        </w:rPr>
      </w:pPr>
      <w:r w:rsidRPr="00ED4C86">
        <w:rPr>
          <w:b/>
          <w:sz w:val="24"/>
        </w:rPr>
        <w:t>State of Missouri</w:t>
      </w:r>
      <w:r w:rsidRPr="00ED4C86">
        <w:rPr>
          <w:b/>
          <w:sz w:val="24"/>
        </w:rPr>
        <w:tab/>
      </w:r>
      <w:r w:rsidRPr="00ED4C86">
        <w:rPr>
          <w:b/>
          <w:sz w:val="24"/>
        </w:rPr>
        <w:tab/>
        <w:t>)</w:t>
      </w:r>
    </w:p>
    <w:p w14:paraId="70773EEB" w14:textId="77777777" w:rsidR="00D54B54" w:rsidRPr="00ED4C86" w:rsidRDefault="00D54B54" w:rsidP="00D54B54">
      <w:pPr>
        <w:rPr>
          <w:b/>
          <w:sz w:val="24"/>
        </w:rPr>
      </w:pPr>
      <w:r w:rsidRPr="00ED4C86">
        <w:rPr>
          <w:b/>
          <w:sz w:val="24"/>
        </w:rPr>
        <w:tab/>
      </w:r>
      <w:r w:rsidRPr="00ED4C86">
        <w:rPr>
          <w:b/>
          <w:sz w:val="24"/>
        </w:rPr>
        <w:tab/>
      </w:r>
      <w:r w:rsidRPr="00ED4C86">
        <w:rPr>
          <w:b/>
          <w:sz w:val="24"/>
        </w:rPr>
        <w:tab/>
      </w:r>
      <w:r w:rsidRPr="00ED4C86">
        <w:rPr>
          <w:b/>
          <w:sz w:val="24"/>
        </w:rPr>
        <w:tab/>
        <w:t>)</w:t>
      </w:r>
      <w:r w:rsidRPr="00ED4C86">
        <w:rPr>
          <w:b/>
          <w:sz w:val="24"/>
        </w:rPr>
        <w:tab/>
        <w:t>SS</w:t>
      </w:r>
    </w:p>
    <w:p w14:paraId="29B5B9FB" w14:textId="77777777" w:rsidR="00D54B54" w:rsidRPr="00ED4C86" w:rsidRDefault="00D54B54" w:rsidP="00D54B54">
      <w:pPr>
        <w:rPr>
          <w:sz w:val="24"/>
        </w:rPr>
      </w:pPr>
      <w:r w:rsidRPr="00ED4C86">
        <w:rPr>
          <w:b/>
          <w:sz w:val="24"/>
        </w:rPr>
        <w:t xml:space="preserve">County of Saint Louis   </w:t>
      </w:r>
      <w:r w:rsidRPr="00ED4C86">
        <w:rPr>
          <w:b/>
          <w:sz w:val="24"/>
        </w:rPr>
        <w:tab/>
        <w:t>)</w:t>
      </w:r>
    </w:p>
    <w:p w14:paraId="3BAC885B" w14:textId="77777777" w:rsidR="00D54B54" w:rsidRPr="00ED4C86" w:rsidRDefault="00D54B54" w:rsidP="00D54B54">
      <w:pPr>
        <w:rPr>
          <w:sz w:val="24"/>
        </w:rPr>
      </w:pPr>
    </w:p>
    <w:p w14:paraId="64F7F169" w14:textId="77777777" w:rsidR="00D54B54" w:rsidRPr="00ED4C86" w:rsidRDefault="00D54B54" w:rsidP="00D54B54">
      <w:pPr>
        <w:rPr>
          <w:sz w:val="24"/>
        </w:rPr>
      </w:pPr>
      <w:r w:rsidRPr="00ED4C86">
        <w:rPr>
          <w:sz w:val="24"/>
        </w:rPr>
        <w:tab/>
      </w:r>
    </w:p>
    <w:p w14:paraId="16F527A2" w14:textId="77777777" w:rsidR="00D54B54" w:rsidRPr="00ED4C86" w:rsidRDefault="00D54B54" w:rsidP="00D54B54">
      <w:pPr>
        <w:suppressLineNumbers/>
        <w:tabs>
          <w:tab w:val="left" w:pos="-1080"/>
          <w:tab w:val="left" w:pos="-720"/>
          <w:tab w:val="left" w:pos="0"/>
          <w:tab w:val="left" w:pos="720"/>
          <w:tab w:val="left" w:pos="1440"/>
          <w:tab w:val="left" w:pos="2160"/>
          <w:tab w:val="left" w:pos="2880"/>
          <w:tab w:val="left" w:pos="3600"/>
          <w:tab w:val="left" w:pos="4320"/>
          <w:tab w:val="left" w:pos="4770"/>
          <w:tab w:val="center" w:pos="7380"/>
        </w:tabs>
        <w:ind w:firstLine="720"/>
        <w:jc w:val="both"/>
        <w:rPr>
          <w:color w:val="000000"/>
        </w:rPr>
      </w:pPr>
      <w:r w:rsidRPr="00ED4C86">
        <w:rPr>
          <w:color w:val="000000"/>
        </w:rPr>
        <w:t>Michael P. Gorman, being first duly sworn, on his oath states:</w:t>
      </w:r>
    </w:p>
    <w:p w14:paraId="55FE2733" w14:textId="77777777" w:rsidR="00D54B54" w:rsidRPr="00ED4C86" w:rsidRDefault="00D54B54" w:rsidP="00D54B54">
      <w:pPr>
        <w:suppressLineNumbers/>
        <w:tabs>
          <w:tab w:val="left" w:pos="-1080"/>
          <w:tab w:val="left" w:pos="-720"/>
          <w:tab w:val="left" w:pos="0"/>
          <w:tab w:val="left" w:pos="720"/>
          <w:tab w:val="left" w:pos="1440"/>
          <w:tab w:val="left" w:pos="2160"/>
          <w:tab w:val="left" w:pos="2880"/>
          <w:tab w:val="left" w:pos="3600"/>
          <w:tab w:val="left" w:pos="4320"/>
          <w:tab w:val="left" w:pos="4770"/>
          <w:tab w:val="center" w:pos="7380"/>
        </w:tabs>
        <w:jc w:val="both"/>
        <w:rPr>
          <w:color w:val="000000"/>
        </w:rPr>
      </w:pPr>
    </w:p>
    <w:p w14:paraId="1232B5F5" w14:textId="77777777" w:rsidR="00D54B54" w:rsidRPr="00ED4C86" w:rsidRDefault="00D54B54" w:rsidP="00D54B54">
      <w:pPr>
        <w:suppressLineNumbers/>
        <w:tabs>
          <w:tab w:val="left" w:pos="-1080"/>
          <w:tab w:val="left" w:pos="-720"/>
          <w:tab w:val="left" w:pos="0"/>
          <w:tab w:val="left" w:pos="720"/>
          <w:tab w:val="left" w:pos="1440"/>
          <w:tab w:val="left" w:pos="2160"/>
          <w:tab w:val="left" w:pos="2880"/>
          <w:tab w:val="left" w:pos="3600"/>
          <w:tab w:val="left" w:pos="4320"/>
          <w:tab w:val="left" w:pos="4770"/>
          <w:tab w:val="center" w:pos="7380"/>
        </w:tabs>
        <w:ind w:firstLine="720"/>
        <w:jc w:val="both"/>
        <w:rPr>
          <w:color w:val="000000"/>
        </w:rPr>
      </w:pPr>
      <w:bookmarkStart w:id="10" w:name="_DV_M29"/>
      <w:bookmarkEnd w:id="10"/>
      <w:r w:rsidRPr="00ED4C86">
        <w:rPr>
          <w:color w:val="000000"/>
        </w:rPr>
        <w:t>1.</w:t>
      </w:r>
      <w:r w:rsidRPr="00ED4C86">
        <w:rPr>
          <w:color w:val="000000"/>
        </w:rPr>
        <w:tab/>
        <w:t xml:space="preserve">My name is Michael P. Gorman.  I am a Managing Principal with Brubaker &amp; Associates, Inc., 16690 </w:t>
      </w:r>
      <w:proofErr w:type="spellStart"/>
      <w:r w:rsidRPr="00ED4C86">
        <w:rPr>
          <w:color w:val="000000"/>
        </w:rPr>
        <w:t>Swingley</w:t>
      </w:r>
      <w:proofErr w:type="spellEnd"/>
      <w:r w:rsidRPr="00ED4C86">
        <w:rPr>
          <w:color w:val="000000"/>
        </w:rPr>
        <w:t xml:space="preserve"> Ridge Road, Suite 140, Chesterfield, MO 63017.  We have been retained by Texas Industrial Energy Consumers to testify in this proceeding on their behalf.</w:t>
      </w:r>
    </w:p>
    <w:p w14:paraId="3E7B3718" w14:textId="77777777" w:rsidR="00D54B54" w:rsidRPr="00ED4C86" w:rsidRDefault="00D54B54" w:rsidP="00D54B54">
      <w:pPr>
        <w:suppressLineNumbers/>
        <w:tabs>
          <w:tab w:val="left" w:pos="-1080"/>
          <w:tab w:val="left" w:pos="-720"/>
          <w:tab w:val="left" w:pos="0"/>
          <w:tab w:val="left" w:pos="720"/>
          <w:tab w:val="left" w:pos="1440"/>
          <w:tab w:val="left" w:pos="2160"/>
          <w:tab w:val="left" w:pos="2880"/>
          <w:tab w:val="left" w:pos="3600"/>
          <w:tab w:val="left" w:pos="4320"/>
          <w:tab w:val="left" w:pos="4770"/>
          <w:tab w:val="center" w:pos="7380"/>
        </w:tabs>
        <w:jc w:val="both"/>
        <w:rPr>
          <w:color w:val="000000"/>
        </w:rPr>
      </w:pPr>
    </w:p>
    <w:p w14:paraId="17FD6B50" w14:textId="77777777" w:rsidR="00D54B54" w:rsidRPr="00ED4C86" w:rsidRDefault="00D54B54" w:rsidP="00D54B54">
      <w:pPr>
        <w:suppressLineNumbers/>
        <w:tabs>
          <w:tab w:val="left" w:pos="-1080"/>
          <w:tab w:val="left" w:pos="-720"/>
          <w:tab w:val="left" w:pos="0"/>
          <w:tab w:val="left" w:pos="720"/>
          <w:tab w:val="left" w:pos="1440"/>
          <w:tab w:val="left" w:pos="2160"/>
          <w:tab w:val="left" w:pos="2880"/>
          <w:tab w:val="left" w:pos="3600"/>
          <w:tab w:val="left" w:pos="4320"/>
          <w:tab w:val="left" w:pos="4770"/>
          <w:tab w:val="center" w:pos="7380"/>
        </w:tabs>
        <w:ind w:firstLine="720"/>
        <w:jc w:val="both"/>
        <w:rPr>
          <w:color w:val="000000"/>
        </w:rPr>
      </w:pPr>
      <w:bookmarkStart w:id="11" w:name="_DV_M30"/>
      <w:bookmarkEnd w:id="11"/>
      <w:r w:rsidRPr="00ED4C86">
        <w:rPr>
          <w:color w:val="000000"/>
        </w:rPr>
        <w:t>2.</w:t>
      </w:r>
      <w:r w:rsidRPr="00ED4C86">
        <w:rPr>
          <w:color w:val="000000"/>
        </w:rPr>
        <w:tab/>
        <w:t xml:space="preserve">Attached hereto and made a part hereof for all purposes are my direct testimony and exhibits which were prepared in written form for introduction into evidence in </w:t>
      </w:r>
      <w:proofErr w:type="spellStart"/>
      <w:r>
        <w:rPr>
          <w:color w:val="000000"/>
        </w:rPr>
        <w:t>SOAH</w:t>
      </w:r>
      <w:proofErr w:type="spellEnd"/>
      <w:r>
        <w:rPr>
          <w:color w:val="000000"/>
        </w:rPr>
        <w:t xml:space="preserve"> Docket No. 473-21-2606, </w:t>
      </w:r>
      <w:r w:rsidRPr="00ED4C86">
        <w:rPr>
          <w:color w:val="000000"/>
        </w:rPr>
        <w:t xml:space="preserve">Public Utility Commission of Texas Docket No. </w:t>
      </w:r>
      <w:r>
        <w:rPr>
          <w:color w:val="000000"/>
        </w:rPr>
        <w:t>52195</w:t>
      </w:r>
      <w:r w:rsidRPr="00ED4C86">
        <w:rPr>
          <w:color w:val="000000"/>
        </w:rPr>
        <w:t>.</w:t>
      </w:r>
    </w:p>
    <w:p w14:paraId="700A9C80" w14:textId="77777777" w:rsidR="00D54B54" w:rsidRPr="00ED4C86" w:rsidRDefault="00D54B54" w:rsidP="00D54B54">
      <w:pPr>
        <w:suppressLineNumbers/>
        <w:tabs>
          <w:tab w:val="left" w:pos="-1080"/>
          <w:tab w:val="left" w:pos="-720"/>
          <w:tab w:val="left" w:pos="0"/>
          <w:tab w:val="left" w:pos="720"/>
          <w:tab w:val="left" w:pos="1440"/>
          <w:tab w:val="left" w:pos="2160"/>
          <w:tab w:val="left" w:pos="2880"/>
          <w:tab w:val="left" w:pos="3600"/>
          <w:tab w:val="left" w:pos="4320"/>
          <w:tab w:val="left" w:pos="4770"/>
          <w:tab w:val="center" w:pos="7380"/>
        </w:tabs>
        <w:jc w:val="both"/>
        <w:rPr>
          <w:color w:val="000000"/>
        </w:rPr>
      </w:pPr>
    </w:p>
    <w:p w14:paraId="6222BC6E" w14:textId="77777777" w:rsidR="00D54B54" w:rsidRPr="00ED4C86" w:rsidRDefault="00D54B54" w:rsidP="00D54B54">
      <w:pPr>
        <w:suppressLineNumbers/>
        <w:tabs>
          <w:tab w:val="left" w:pos="-1080"/>
          <w:tab w:val="left" w:pos="-720"/>
          <w:tab w:val="left" w:pos="0"/>
          <w:tab w:val="left" w:pos="720"/>
          <w:tab w:val="left" w:pos="1440"/>
          <w:tab w:val="left" w:pos="2160"/>
          <w:tab w:val="left" w:pos="2880"/>
          <w:tab w:val="left" w:pos="3600"/>
          <w:tab w:val="left" w:pos="4320"/>
          <w:tab w:val="left" w:pos="4770"/>
          <w:tab w:val="center" w:pos="7380"/>
        </w:tabs>
        <w:ind w:firstLine="720"/>
        <w:jc w:val="both"/>
        <w:rPr>
          <w:color w:val="000000"/>
        </w:rPr>
      </w:pPr>
      <w:bookmarkStart w:id="12" w:name="_DV_M31"/>
      <w:bookmarkEnd w:id="12"/>
      <w:r w:rsidRPr="00ED4C86">
        <w:rPr>
          <w:color w:val="000000"/>
        </w:rPr>
        <w:t>3.</w:t>
      </w:r>
      <w:r w:rsidRPr="00ED4C86">
        <w:rPr>
          <w:color w:val="000000"/>
        </w:rPr>
        <w:tab/>
        <w:t>I hereby swear and affirm that the testimony and exhibits are true and correct and that they show the matters and things that they purport to show.</w:t>
      </w:r>
    </w:p>
    <w:p w14:paraId="69A3B162" w14:textId="77777777" w:rsidR="00D54B54" w:rsidRPr="00ED4C86" w:rsidRDefault="00D54B54" w:rsidP="00D54B54">
      <w:pPr>
        <w:suppressLineNumbers/>
        <w:tabs>
          <w:tab w:val="left" w:pos="-1080"/>
          <w:tab w:val="left" w:pos="-720"/>
          <w:tab w:val="left" w:pos="0"/>
          <w:tab w:val="left" w:pos="720"/>
          <w:tab w:val="left" w:pos="1440"/>
          <w:tab w:val="left" w:pos="2160"/>
          <w:tab w:val="left" w:pos="2880"/>
          <w:tab w:val="left" w:pos="3600"/>
          <w:tab w:val="left" w:pos="4320"/>
          <w:tab w:val="left" w:pos="4770"/>
          <w:tab w:val="center" w:pos="7380"/>
        </w:tabs>
        <w:jc w:val="both"/>
        <w:rPr>
          <w:color w:val="000000"/>
        </w:rPr>
      </w:pPr>
    </w:p>
    <w:p w14:paraId="47D8EC3F" w14:textId="77777777" w:rsidR="00D54B54" w:rsidRPr="00ED4C86" w:rsidRDefault="00D54B54" w:rsidP="00D54B54">
      <w:pPr>
        <w:suppressLineNumbers/>
        <w:tabs>
          <w:tab w:val="left" w:pos="-1080"/>
          <w:tab w:val="left" w:pos="-720"/>
          <w:tab w:val="left" w:pos="0"/>
          <w:tab w:val="left" w:pos="720"/>
          <w:tab w:val="left" w:pos="1440"/>
          <w:tab w:val="left" w:pos="2160"/>
          <w:tab w:val="left" w:pos="2880"/>
          <w:tab w:val="left" w:pos="3600"/>
          <w:tab w:val="left" w:pos="4320"/>
          <w:tab w:val="left" w:pos="4770"/>
          <w:tab w:val="center" w:pos="7380"/>
        </w:tabs>
        <w:jc w:val="both"/>
        <w:rPr>
          <w:color w:val="000000"/>
        </w:rPr>
      </w:pPr>
    </w:p>
    <w:p w14:paraId="67EBF916" w14:textId="77777777" w:rsidR="00D54B54" w:rsidRPr="00ED4C86" w:rsidRDefault="00D54B54" w:rsidP="00D54B54">
      <w:pPr>
        <w:suppressLineNumbers/>
        <w:tabs>
          <w:tab w:val="left" w:pos="-1080"/>
          <w:tab w:val="left" w:pos="-720"/>
          <w:tab w:val="left" w:pos="0"/>
          <w:tab w:val="left" w:pos="720"/>
          <w:tab w:val="left" w:pos="1440"/>
          <w:tab w:val="left" w:pos="2160"/>
          <w:tab w:val="left" w:pos="2880"/>
          <w:tab w:val="left" w:pos="3600"/>
          <w:tab w:val="left" w:pos="4320"/>
          <w:tab w:val="left" w:pos="4770"/>
          <w:tab w:val="center" w:pos="7380"/>
        </w:tabs>
        <w:jc w:val="both"/>
        <w:rPr>
          <w:color w:val="000000"/>
        </w:rPr>
      </w:pPr>
    </w:p>
    <w:p w14:paraId="62BFB6C7" w14:textId="77777777" w:rsidR="00D54B54" w:rsidRPr="00ED4C86" w:rsidRDefault="00D54B54" w:rsidP="00D54B54">
      <w:pPr>
        <w:suppressLineNumbers/>
        <w:tabs>
          <w:tab w:val="left" w:pos="-1080"/>
          <w:tab w:val="left" w:pos="-720"/>
          <w:tab w:val="left" w:pos="0"/>
          <w:tab w:val="left" w:pos="720"/>
          <w:tab w:val="left" w:pos="1440"/>
          <w:tab w:val="left" w:pos="2160"/>
          <w:tab w:val="left" w:pos="2880"/>
          <w:tab w:val="left" w:pos="3600"/>
          <w:tab w:val="left" w:pos="4320"/>
          <w:tab w:val="left" w:pos="4770"/>
          <w:tab w:val="center" w:pos="7380"/>
        </w:tabs>
        <w:ind w:left="4770"/>
        <w:jc w:val="both"/>
        <w:rPr>
          <w:color w:val="000000"/>
        </w:rPr>
      </w:pPr>
      <w:bookmarkStart w:id="13" w:name="_DV_M32"/>
      <w:bookmarkEnd w:id="13"/>
      <w:r w:rsidRPr="00ED4C86">
        <w:rPr>
          <w:color w:val="000000"/>
        </w:rPr>
        <w:t>___________________________________</w:t>
      </w:r>
    </w:p>
    <w:p w14:paraId="6FD3DECF" w14:textId="77777777" w:rsidR="00D54B54" w:rsidRPr="00ED4C86" w:rsidRDefault="00D54B54" w:rsidP="00D54B54">
      <w:pPr>
        <w:suppressLineNumbers/>
        <w:tabs>
          <w:tab w:val="left" w:pos="-1080"/>
          <w:tab w:val="left" w:pos="-720"/>
          <w:tab w:val="left" w:pos="0"/>
          <w:tab w:val="left" w:pos="720"/>
          <w:tab w:val="left" w:pos="1440"/>
          <w:tab w:val="left" w:pos="2160"/>
          <w:tab w:val="left" w:pos="2880"/>
          <w:tab w:val="left" w:pos="3600"/>
          <w:tab w:val="left" w:pos="4320"/>
          <w:tab w:val="left" w:pos="4770"/>
          <w:tab w:val="center" w:pos="7380"/>
        </w:tabs>
        <w:ind w:firstLine="4770"/>
        <w:jc w:val="both"/>
        <w:rPr>
          <w:color w:val="000000"/>
        </w:rPr>
      </w:pPr>
      <w:bookmarkStart w:id="14" w:name="_DV_M33"/>
      <w:bookmarkEnd w:id="14"/>
      <w:r w:rsidRPr="00ED4C86">
        <w:rPr>
          <w:color w:val="000000"/>
        </w:rPr>
        <w:t>Michael P. Gorman</w:t>
      </w:r>
    </w:p>
    <w:p w14:paraId="2E17A855" w14:textId="77777777" w:rsidR="00D54B54" w:rsidRPr="00ED4C86" w:rsidRDefault="00D54B54" w:rsidP="00D54B54">
      <w:pPr>
        <w:suppressLineNumbers/>
        <w:tabs>
          <w:tab w:val="left" w:pos="-1080"/>
          <w:tab w:val="left" w:pos="-720"/>
          <w:tab w:val="left" w:pos="0"/>
          <w:tab w:val="left" w:pos="720"/>
          <w:tab w:val="left" w:pos="1440"/>
          <w:tab w:val="left" w:pos="2160"/>
          <w:tab w:val="left" w:pos="2880"/>
          <w:tab w:val="left" w:pos="3600"/>
          <w:tab w:val="left" w:pos="4320"/>
          <w:tab w:val="left" w:pos="4770"/>
          <w:tab w:val="center" w:pos="7380"/>
        </w:tabs>
        <w:jc w:val="both"/>
        <w:rPr>
          <w:color w:val="000000"/>
        </w:rPr>
      </w:pPr>
    </w:p>
    <w:p w14:paraId="5CA1858A" w14:textId="77777777" w:rsidR="00D54B54" w:rsidRPr="00ED4C86" w:rsidRDefault="00D54B54" w:rsidP="00D54B54">
      <w:pPr>
        <w:suppressLineNumbers/>
        <w:tabs>
          <w:tab w:val="left" w:pos="-1080"/>
          <w:tab w:val="left" w:pos="-720"/>
          <w:tab w:val="left" w:pos="0"/>
          <w:tab w:val="left" w:pos="720"/>
          <w:tab w:val="left" w:pos="1440"/>
          <w:tab w:val="left" w:pos="2160"/>
          <w:tab w:val="left" w:pos="2880"/>
          <w:tab w:val="left" w:pos="3600"/>
          <w:tab w:val="left" w:pos="4320"/>
          <w:tab w:val="left" w:pos="4770"/>
          <w:tab w:val="center" w:pos="7380"/>
        </w:tabs>
        <w:jc w:val="both"/>
        <w:rPr>
          <w:color w:val="000000"/>
        </w:rPr>
      </w:pPr>
    </w:p>
    <w:p w14:paraId="3B8CF5F8" w14:textId="77777777" w:rsidR="00D54B54" w:rsidRPr="00ED4C86" w:rsidRDefault="00D54B54" w:rsidP="00D54B54">
      <w:pPr>
        <w:suppressLineNumbers/>
        <w:tabs>
          <w:tab w:val="left" w:pos="-1080"/>
          <w:tab w:val="left" w:pos="-720"/>
          <w:tab w:val="left" w:pos="0"/>
          <w:tab w:val="left" w:pos="720"/>
          <w:tab w:val="left" w:pos="1440"/>
          <w:tab w:val="left" w:pos="2160"/>
          <w:tab w:val="left" w:pos="2880"/>
          <w:tab w:val="left" w:pos="3600"/>
          <w:tab w:val="left" w:pos="4320"/>
          <w:tab w:val="left" w:pos="4770"/>
          <w:tab w:val="center" w:pos="7380"/>
        </w:tabs>
        <w:jc w:val="both"/>
        <w:rPr>
          <w:color w:val="000000"/>
        </w:rPr>
      </w:pPr>
    </w:p>
    <w:p w14:paraId="29C50815" w14:textId="77777777" w:rsidR="00D54B54" w:rsidRPr="00ED4C86" w:rsidRDefault="00D54B54" w:rsidP="00D54B54">
      <w:pPr>
        <w:suppressLineNumbers/>
        <w:tabs>
          <w:tab w:val="left" w:pos="-1080"/>
          <w:tab w:val="left" w:pos="-720"/>
          <w:tab w:val="left" w:pos="0"/>
          <w:tab w:val="left" w:pos="720"/>
          <w:tab w:val="left" w:pos="1440"/>
          <w:tab w:val="left" w:pos="2160"/>
          <w:tab w:val="left" w:pos="2880"/>
          <w:tab w:val="left" w:pos="3600"/>
          <w:tab w:val="left" w:pos="4320"/>
          <w:tab w:val="left" w:pos="4770"/>
          <w:tab w:val="center" w:pos="7380"/>
        </w:tabs>
        <w:jc w:val="both"/>
        <w:rPr>
          <w:color w:val="000000"/>
        </w:rPr>
      </w:pPr>
      <w:bookmarkStart w:id="15" w:name="_DV_M34"/>
      <w:bookmarkEnd w:id="15"/>
      <w:r w:rsidRPr="00ED4C86">
        <w:rPr>
          <w:color w:val="000000"/>
        </w:rPr>
        <w:t xml:space="preserve">Subscribed and sworn to before me this </w:t>
      </w:r>
      <w:r>
        <w:rPr>
          <w:color w:val="000000"/>
        </w:rPr>
        <w:t>22nd</w:t>
      </w:r>
      <w:r w:rsidRPr="00ED4C86">
        <w:rPr>
          <w:color w:val="000000"/>
        </w:rPr>
        <w:t xml:space="preserve"> day of </w:t>
      </w:r>
      <w:r>
        <w:rPr>
          <w:color w:val="000000"/>
        </w:rPr>
        <w:t>October, 2021</w:t>
      </w:r>
      <w:r w:rsidRPr="00ED4C86">
        <w:rPr>
          <w:color w:val="000000"/>
        </w:rPr>
        <w:t>.</w:t>
      </w:r>
    </w:p>
    <w:p w14:paraId="06D3D111" w14:textId="77777777" w:rsidR="00D54B54" w:rsidRPr="00ED4C86" w:rsidRDefault="00D54B54" w:rsidP="00D54B54">
      <w:pPr>
        <w:suppressLineNumbers/>
        <w:tabs>
          <w:tab w:val="left" w:pos="-1080"/>
          <w:tab w:val="left" w:pos="-720"/>
          <w:tab w:val="left" w:pos="0"/>
          <w:tab w:val="left" w:pos="720"/>
          <w:tab w:val="left" w:pos="1440"/>
          <w:tab w:val="left" w:pos="2160"/>
          <w:tab w:val="left" w:pos="2880"/>
          <w:tab w:val="left" w:pos="3600"/>
          <w:tab w:val="left" w:pos="4320"/>
          <w:tab w:val="left" w:pos="4770"/>
          <w:tab w:val="center" w:pos="7380"/>
        </w:tabs>
        <w:ind w:firstLine="4770"/>
        <w:jc w:val="both"/>
        <w:rPr>
          <w:color w:val="000000"/>
        </w:rPr>
      </w:pPr>
    </w:p>
    <w:p w14:paraId="07083EF0" w14:textId="77777777" w:rsidR="00D54B54" w:rsidRPr="00ED4C86" w:rsidRDefault="00D54B54" w:rsidP="00D54B54">
      <w:pPr>
        <w:suppressLineNumbers/>
        <w:tabs>
          <w:tab w:val="left" w:pos="-1080"/>
          <w:tab w:val="left" w:pos="-720"/>
          <w:tab w:val="left" w:pos="0"/>
          <w:tab w:val="left" w:pos="720"/>
          <w:tab w:val="left" w:pos="1440"/>
          <w:tab w:val="left" w:pos="2160"/>
          <w:tab w:val="left" w:pos="2880"/>
          <w:tab w:val="left" w:pos="3600"/>
          <w:tab w:val="left" w:pos="4320"/>
          <w:tab w:val="left" w:pos="4770"/>
          <w:tab w:val="center" w:pos="7380"/>
        </w:tabs>
        <w:ind w:firstLine="4770"/>
        <w:jc w:val="both"/>
        <w:rPr>
          <w:color w:val="000000"/>
        </w:rPr>
      </w:pPr>
    </w:p>
    <w:p w14:paraId="626334C8" w14:textId="77777777" w:rsidR="00D54B54" w:rsidRPr="00ED4C86" w:rsidRDefault="00D54B54" w:rsidP="00D54B54">
      <w:pPr>
        <w:suppressLineNumbers/>
        <w:tabs>
          <w:tab w:val="left" w:pos="-1080"/>
          <w:tab w:val="left" w:pos="-720"/>
          <w:tab w:val="left" w:pos="0"/>
          <w:tab w:val="left" w:pos="720"/>
          <w:tab w:val="left" w:pos="1440"/>
          <w:tab w:val="left" w:pos="2160"/>
          <w:tab w:val="left" w:pos="2880"/>
          <w:tab w:val="left" w:pos="3600"/>
          <w:tab w:val="left" w:pos="4320"/>
          <w:tab w:val="left" w:pos="4770"/>
          <w:tab w:val="center" w:pos="7380"/>
        </w:tabs>
        <w:ind w:firstLine="4770"/>
        <w:jc w:val="both"/>
        <w:rPr>
          <w:color w:val="000000"/>
        </w:rPr>
      </w:pPr>
    </w:p>
    <w:p w14:paraId="12ECD452" w14:textId="77777777" w:rsidR="00D54B54" w:rsidRPr="00ED4C86" w:rsidRDefault="00D54B54" w:rsidP="00D54B54">
      <w:pPr>
        <w:suppressLineNumbers/>
        <w:tabs>
          <w:tab w:val="left" w:pos="-1080"/>
          <w:tab w:val="left" w:pos="-720"/>
          <w:tab w:val="left" w:pos="0"/>
          <w:tab w:val="left" w:pos="720"/>
          <w:tab w:val="left" w:pos="1440"/>
          <w:tab w:val="left" w:pos="2160"/>
          <w:tab w:val="left" w:pos="2880"/>
          <w:tab w:val="left" w:pos="3600"/>
          <w:tab w:val="left" w:pos="4320"/>
          <w:tab w:val="left" w:pos="4770"/>
          <w:tab w:val="center" w:pos="7380"/>
        </w:tabs>
        <w:ind w:firstLine="4770"/>
        <w:jc w:val="both"/>
        <w:rPr>
          <w:color w:val="000000"/>
        </w:rPr>
      </w:pPr>
    </w:p>
    <w:p w14:paraId="229A0457" w14:textId="77777777" w:rsidR="00D54B54" w:rsidRPr="00ED4C86" w:rsidRDefault="00D54B54" w:rsidP="00D54B54">
      <w:pPr>
        <w:suppressLineNumbers/>
        <w:tabs>
          <w:tab w:val="left" w:pos="-1080"/>
          <w:tab w:val="left" w:pos="-720"/>
          <w:tab w:val="left" w:pos="0"/>
          <w:tab w:val="left" w:pos="720"/>
          <w:tab w:val="left" w:pos="1440"/>
          <w:tab w:val="left" w:pos="2160"/>
          <w:tab w:val="left" w:pos="2880"/>
          <w:tab w:val="left" w:pos="3600"/>
          <w:tab w:val="left" w:pos="4320"/>
          <w:tab w:val="left" w:pos="4770"/>
          <w:tab w:val="center" w:pos="7380"/>
        </w:tabs>
        <w:ind w:firstLine="4770"/>
        <w:jc w:val="both"/>
        <w:rPr>
          <w:color w:val="000000"/>
        </w:rPr>
      </w:pPr>
      <w:bookmarkStart w:id="16" w:name="_DV_M35"/>
      <w:bookmarkEnd w:id="16"/>
      <w:r w:rsidRPr="00ED4C86">
        <w:rPr>
          <w:color w:val="000000"/>
        </w:rPr>
        <w:t>___________________________________</w:t>
      </w:r>
    </w:p>
    <w:p w14:paraId="09A53A14" w14:textId="77777777" w:rsidR="00D54B54" w:rsidRPr="00ED4C86" w:rsidRDefault="00D54B54" w:rsidP="00D54B54">
      <w:pPr>
        <w:suppressLineNumbers/>
        <w:tabs>
          <w:tab w:val="left" w:pos="-1080"/>
          <w:tab w:val="left" w:pos="-720"/>
          <w:tab w:val="left" w:pos="0"/>
          <w:tab w:val="left" w:pos="720"/>
          <w:tab w:val="left" w:pos="1440"/>
          <w:tab w:val="left" w:pos="2160"/>
          <w:tab w:val="left" w:pos="2880"/>
          <w:tab w:val="left" w:pos="3600"/>
          <w:tab w:val="left" w:pos="4320"/>
          <w:tab w:val="left" w:pos="4770"/>
          <w:tab w:val="center" w:pos="7380"/>
        </w:tabs>
        <w:ind w:firstLine="4770"/>
        <w:jc w:val="both"/>
        <w:rPr>
          <w:b/>
        </w:rPr>
      </w:pPr>
      <w:bookmarkStart w:id="17" w:name="_DV_M36"/>
      <w:bookmarkEnd w:id="17"/>
      <w:r w:rsidRPr="00ED4C86">
        <w:rPr>
          <w:color w:val="000000"/>
        </w:rPr>
        <w:t>Notary Public</w:t>
      </w:r>
    </w:p>
    <w:p w14:paraId="22B1B4C9" w14:textId="77777777" w:rsidR="00D54B54" w:rsidRPr="00ED4C86" w:rsidRDefault="00D54B54" w:rsidP="00D54B54">
      <w:pPr>
        <w:jc w:val="center"/>
        <w:rPr>
          <w:b/>
          <w:sz w:val="24"/>
        </w:rPr>
        <w:sectPr w:rsidR="00D54B54" w:rsidRPr="00ED4C86">
          <w:headerReference w:type="default" r:id="rId14"/>
          <w:footerReference w:type="default" r:id="rId15"/>
          <w:headerReference w:type="first" r:id="rId16"/>
          <w:footerReference w:type="first" r:id="rId17"/>
          <w:pgSz w:w="12240" w:h="15840" w:code="1"/>
          <w:pgMar w:top="1152" w:right="1440" w:bottom="864" w:left="1440" w:header="576" w:footer="576" w:gutter="0"/>
          <w:pgNumType w:start="3"/>
          <w:cols w:space="720"/>
          <w:docGrid w:linePitch="233"/>
        </w:sectPr>
      </w:pPr>
    </w:p>
    <w:p w14:paraId="16713A3F" w14:textId="77777777" w:rsidR="00D54B54" w:rsidRDefault="00D54B54" w:rsidP="00D54B54">
      <w:pPr>
        <w:jc w:val="center"/>
        <w:rPr>
          <w:b/>
        </w:rPr>
      </w:pPr>
      <w:proofErr w:type="spellStart"/>
      <w:r w:rsidRPr="00ED4C86">
        <w:rPr>
          <w:b/>
          <w:sz w:val="24"/>
          <w:szCs w:val="24"/>
        </w:rPr>
        <w:lastRenderedPageBreak/>
        <w:t>SOAH</w:t>
      </w:r>
      <w:proofErr w:type="spellEnd"/>
      <w:r w:rsidRPr="00ED4C86">
        <w:rPr>
          <w:b/>
          <w:sz w:val="24"/>
          <w:szCs w:val="24"/>
        </w:rPr>
        <w:t xml:space="preserve"> DOCKET NO. </w:t>
      </w:r>
      <w:r>
        <w:rPr>
          <w:b/>
        </w:rPr>
        <w:t>473-21-2606</w:t>
      </w:r>
    </w:p>
    <w:p w14:paraId="10D43158" w14:textId="77777777" w:rsidR="00D54B54" w:rsidRPr="00ED4C86" w:rsidRDefault="00D54B54" w:rsidP="00D54B54">
      <w:pPr>
        <w:jc w:val="center"/>
        <w:rPr>
          <w:b/>
          <w:sz w:val="24"/>
        </w:rPr>
      </w:pPr>
      <w:r w:rsidRPr="00ED4C86">
        <w:rPr>
          <w:b/>
          <w:sz w:val="24"/>
          <w:szCs w:val="24"/>
        </w:rPr>
        <w:t xml:space="preserve">PUC DOCKET NO. </w:t>
      </w:r>
      <w:r>
        <w:rPr>
          <w:b/>
          <w:sz w:val="24"/>
          <w:szCs w:val="24"/>
        </w:rPr>
        <w:t>52195</w:t>
      </w:r>
    </w:p>
    <w:p w14:paraId="3775C81F" w14:textId="77777777" w:rsidR="00D54B54" w:rsidRPr="00ED4C86" w:rsidRDefault="00D54B54" w:rsidP="00D54B54">
      <w:pPr>
        <w:jc w:val="center"/>
      </w:pPr>
    </w:p>
    <w:p w14:paraId="3C8B2E38" w14:textId="77777777" w:rsidR="00D54B54" w:rsidRPr="00ED4C86" w:rsidRDefault="00D54B54" w:rsidP="00D54B54">
      <w:pPr>
        <w:jc w:val="center"/>
      </w:pPr>
    </w:p>
    <w:tbl>
      <w:tblPr>
        <w:tblW w:w="8486" w:type="dxa"/>
        <w:tblInd w:w="558" w:type="dxa"/>
        <w:tblLook w:val="0000" w:firstRow="0" w:lastRow="0" w:firstColumn="0" w:lastColumn="0" w:noHBand="0" w:noVBand="0"/>
      </w:tblPr>
      <w:tblGrid>
        <w:gridCol w:w="4032"/>
        <w:gridCol w:w="296"/>
        <w:gridCol w:w="4158"/>
      </w:tblGrid>
      <w:tr w:rsidR="00D54B54" w14:paraId="038B2821" w14:textId="77777777" w:rsidTr="006435B1">
        <w:tc>
          <w:tcPr>
            <w:tcW w:w="4032" w:type="dxa"/>
            <w:tcBorders>
              <w:top w:val="single" w:sz="4" w:space="0" w:color="auto"/>
              <w:bottom w:val="single" w:sz="4" w:space="0" w:color="auto"/>
            </w:tcBorders>
          </w:tcPr>
          <w:p w14:paraId="4278F5D5" w14:textId="77777777" w:rsidR="00D54B54" w:rsidRPr="00ED4C86" w:rsidRDefault="00D54B54" w:rsidP="006435B1">
            <w:pPr>
              <w:jc w:val="center"/>
              <w:rPr>
                <w:rFonts w:cs="Arial"/>
                <w:b/>
                <w:sz w:val="24"/>
                <w:szCs w:val="24"/>
              </w:rPr>
            </w:pPr>
          </w:p>
          <w:p w14:paraId="357BBDE7" w14:textId="77777777" w:rsidR="00D54B54" w:rsidRPr="00ED4C86" w:rsidRDefault="00D54B54" w:rsidP="006435B1">
            <w:pPr>
              <w:rPr>
                <w:b/>
                <w:sz w:val="24"/>
                <w:szCs w:val="24"/>
              </w:rPr>
            </w:pPr>
            <w:r w:rsidRPr="00ED4C86">
              <w:rPr>
                <w:b/>
                <w:sz w:val="24"/>
                <w:szCs w:val="24"/>
              </w:rPr>
              <w:t xml:space="preserve">APPLICATION OF </w:t>
            </w:r>
            <w:r>
              <w:rPr>
                <w:b/>
                <w:sz w:val="24"/>
                <w:szCs w:val="24"/>
              </w:rPr>
              <w:t>EL PASO ELECTRIC COMPANY</w:t>
            </w:r>
            <w:r w:rsidRPr="00ED4C86">
              <w:rPr>
                <w:b/>
                <w:sz w:val="24"/>
                <w:szCs w:val="24"/>
              </w:rPr>
              <w:t xml:space="preserve"> TO CHANGE RATES </w:t>
            </w:r>
          </w:p>
        </w:tc>
        <w:tc>
          <w:tcPr>
            <w:tcW w:w="296" w:type="dxa"/>
          </w:tcPr>
          <w:p w14:paraId="6731125E" w14:textId="77777777" w:rsidR="00D54B54" w:rsidRPr="00ED4C86" w:rsidRDefault="00D54B54" w:rsidP="006435B1">
            <w:pPr>
              <w:jc w:val="center"/>
              <w:rPr>
                <w:b/>
                <w:sz w:val="24"/>
                <w:szCs w:val="24"/>
              </w:rPr>
            </w:pPr>
            <w:r w:rsidRPr="00ED4C86">
              <w:rPr>
                <w:b/>
                <w:sz w:val="24"/>
                <w:szCs w:val="24"/>
              </w:rPr>
              <w:t>)</w:t>
            </w:r>
          </w:p>
          <w:p w14:paraId="609A9CFA" w14:textId="77777777" w:rsidR="00D54B54" w:rsidRPr="00ED4C86" w:rsidRDefault="00D54B54" w:rsidP="006435B1">
            <w:pPr>
              <w:jc w:val="center"/>
              <w:rPr>
                <w:b/>
                <w:sz w:val="24"/>
                <w:szCs w:val="24"/>
              </w:rPr>
            </w:pPr>
            <w:r w:rsidRPr="00ED4C86">
              <w:rPr>
                <w:b/>
                <w:sz w:val="24"/>
                <w:szCs w:val="24"/>
              </w:rPr>
              <w:t>)</w:t>
            </w:r>
          </w:p>
          <w:p w14:paraId="26851430" w14:textId="77777777" w:rsidR="00D54B54" w:rsidRPr="00ED4C86" w:rsidRDefault="00D54B54" w:rsidP="006435B1">
            <w:pPr>
              <w:jc w:val="center"/>
              <w:rPr>
                <w:b/>
                <w:sz w:val="24"/>
                <w:szCs w:val="24"/>
              </w:rPr>
            </w:pPr>
            <w:r w:rsidRPr="00ED4C86">
              <w:rPr>
                <w:b/>
                <w:sz w:val="24"/>
                <w:szCs w:val="24"/>
              </w:rPr>
              <w:t>)</w:t>
            </w:r>
          </w:p>
          <w:p w14:paraId="5A644875" w14:textId="77777777" w:rsidR="00D54B54" w:rsidRPr="00ED4C86" w:rsidRDefault="00D54B54" w:rsidP="006435B1">
            <w:pPr>
              <w:jc w:val="center"/>
              <w:rPr>
                <w:b/>
                <w:sz w:val="24"/>
                <w:szCs w:val="24"/>
              </w:rPr>
            </w:pPr>
            <w:r w:rsidRPr="00ED4C86">
              <w:rPr>
                <w:b/>
                <w:sz w:val="24"/>
                <w:szCs w:val="24"/>
              </w:rPr>
              <w:t>)</w:t>
            </w:r>
          </w:p>
        </w:tc>
        <w:tc>
          <w:tcPr>
            <w:tcW w:w="4158" w:type="dxa"/>
          </w:tcPr>
          <w:p w14:paraId="543C943C" w14:textId="77777777" w:rsidR="00D54B54" w:rsidRPr="00ED4C86" w:rsidRDefault="00D54B54" w:rsidP="006435B1">
            <w:pPr>
              <w:jc w:val="center"/>
              <w:rPr>
                <w:b/>
                <w:sz w:val="24"/>
                <w:szCs w:val="24"/>
              </w:rPr>
            </w:pPr>
          </w:p>
          <w:p w14:paraId="330F9292" w14:textId="77777777" w:rsidR="00D54B54" w:rsidRDefault="00D54B54" w:rsidP="006435B1">
            <w:pPr>
              <w:jc w:val="center"/>
              <w:rPr>
                <w:b/>
                <w:sz w:val="24"/>
                <w:szCs w:val="24"/>
              </w:rPr>
            </w:pPr>
            <w:r w:rsidRPr="00ED4C86">
              <w:rPr>
                <w:b/>
                <w:sz w:val="24"/>
                <w:szCs w:val="24"/>
              </w:rPr>
              <w:t>BEFORE THE</w:t>
            </w:r>
            <w:r>
              <w:rPr>
                <w:b/>
                <w:sz w:val="24"/>
                <w:szCs w:val="24"/>
              </w:rPr>
              <w:t xml:space="preserve"> STATE OFFICE</w:t>
            </w:r>
          </w:p>
          <w:p w14:paraId="7776BD88" w14:textId="77777777" w:rsidR="00D54B54" w:rsidRDefault="00D54B54" w:rsidP="006435B1">
            <w:pPr>
              <w:jc w:val="center"/>
              <w:rPr>
                <w:b/>
                <w:sz w:val="24"/>
                <w:szCs w:val="24"/>
              </w:rPr>
            </w:pPr>
            <w:r>
              <w:rPr>
                <w:b/>
                <w:sz w:val="24"/>
                <w:szCs w:val="24"/>
              </w:rPr>
              <w:t>OF</w:t>
            </w:r>
          </w:p>
          <w:p w14:paraId="21520A16" w14:textId="77777777" w:rsidR="00D54B54" w:rsidRPr="00ED4C86" w:rsidRDefault="00D54B54" w:rsidP="006435B1">
            <w:pPr>
              <w:jc w:val="center"/>
              <w:rPr>
                <w:b/>
                <w:sz w:val="24"/>
                <w:szCs w:val="24"/>
              </w:rPr>
            </w:pPr>
            <w:r>
              <w:rPr>
                <w:b/>
                <w:sz w:val="24"/>
                <w:szCs w:val="24"/>
              </w:rPr>
              <w:t>ADMINISTRATIVE HEARINGS</w:t>
            </w:r>
          </w:p>
          <w:p w14:paraId="6359B53F" w14:textId="77777777" w:rsidR="00D54B54" w:rsidRPr="00ED4C86" w:rsidRDefault="00D54B54" w:rsidP="006435B1">
            <w:pPr>
              <w:jc w:val="center"/>
              <w:rPr>
                <w:b/>
                <w:szCs w:val="24"/>
              </w:rPr>
            </w:pPr>
          </w:p>
        </w:tc>
      </w:tr>
    </w:tbl>
    <w:p w14:paraId="0C8F1F3B" w14:textId="77777777" w:rsidR="00D54B54" w:rsidRPr="00ED4C86" w:rsidRDefault="00D54B54" w:rsidP="00D54B54">
      <w:pPr>
        <w:jc w:val="both"/>
        <w:rPr>
          <w:szCs w:val="22"/>
        </w:rPr>
      </w:pPr>
      <w:r w:rsidRPr="00ED4C86">
        <w:rPr>
          <w:szCs w:val="22"/>
        </w:rPr>
        <w:t xml:space="preserve"> </w:t>
      </w:r>
    </w:p>
    <w:p w14:paraId="69ADD879" w14:textId="77777777" w:rsidR="00D54B54" w:rsidRPr="00ED4C86" w:rsidRDefault="00D54B54" w:rsidP="00D54B54">
      <w:pPr>
        <w:jc w:val="both"/>
        <w:rPr>
          <w:szCs w:val="22"/>
        </w:rPr>
      </w:pPr>
    </w:p>
    <w:p w14:paraId="4D568315" w14:textId="77777777" w:rsidR="00D54B54" w:rsidRPr="00ED4C86" w:rsidRDefault="00D54B54" w:rsidP="00D54B54">
      <w:pPr>
        <w:jc w:val="center"/>
        <w:rPr>
          <w:b/>
          <w:szCs w:val="24"/>
        </w:rPr>
      </w:pPr>
    </w:p>
    <w:p w14:paraId="0AEF9067" w14:textId="77777777" w:rsidR="00D54B54" w:rsidRPr="00ED4C86" w:rsidRDefault="00D54B54" w:rsidP="00D54B54">
      <w:pPr>
        <w:suppressLineNumbers/>
        <w:jc w:val="center"/>
        <w:rPr>
          <w:sz w:val="24"/>
        </w:rPr>
      </w:pPr>
      <w:r w:rsidRPr="00ED4C86">
        <w:rPr>
          <w:b/>
          <w:bCs/>
          <w:sz w:val="24"/>
          <w:u w:val="single"/>
        </w:rPr>
        <w:t>Direct Testimony of Michael P. Gorman</w:t>
      </w:r>
    </w:p>
    <w:p w14:paraId="238375BE" w14:textId="77777777" w:rsidR="00D54B54" w:rsidRPr="00ED4C86" w:rsidRDefault="00D54B54" w:rsidP="00D54B54">
      <w:pPr>
        <w:suppressLineNumbers/>
        <w:jc w:val="both"/>
        <w:rPr>
          <w:sz w:val="24"/>
        </w:rPr>
      </w:pPr>
    </w:p>
    <w:p w14:paraId="0548C7F4" w14:textId="77777777" w:rsidR="00D54B54" w:rsidRPr="00ED4C86" w:rsidRDefault="00D54B54" w:rsidP="00D54B54">
      <w:pPr>
        <w:suppressLineNumbers/>
        <w:ind w:left="720" w:hanging="720"/>
        <w:jc w:val="both"/>
        <w:rPr>
          <w:b/>
        </w:rPr>
      </w:pPr>
    </w:p>
    <w:p w14:paraId="542B8B85" w14:textId="77777777" w:rsidR="00D54B54" w:rsidRPr="00ED4C86" w:rsidRDefault="00D54B54" w:rsidP="00D54B54">
      <w:pPr>
        <w:spacing w:line="480" w:lineRule="auto"/>
        <w:ind w:left="720" w:hanging="720"/>
        <w:jc w:val="both"/>
        <w:rPr>
          <w:b/>
        </w:rPr>
        <w:sectPr w:rsidR="00D54B54" w:rsidRPr="00ED4C86">
          <w:footerReference w:type="default" r:id="rId18"/>
          <w:pgSz w:w="12240" w:h="15840" w:code="1"/>
          <w:pgMar w:top="1440" w:right="1440" w:bottom="1440" w:left="1440" w:header="576" w:footer="576" w:gutter="0"/>
          <w:pgNumType w:start="4"/>
          <w:cols w:space="720"/>
          <w:docGrid w:linePitch="233"/>
        </w:sectPr>
      </w:pPr>
    </w:p>
    <w:p w14:paraId="259449C8" w14:textId="77777777" w:rsidR="00D54B54" w:rsidRPr="00ED4C86" w:rsidRDefault="00D54B54" w:rsidP="00D54B54">
      <w:pPr>
        <w:spacing w:line="480" w:lineRule="auto"/>
        <w:ind w:left="720" w:hanging="720"/>
        <w:jc w:val="both"/>
        <w:rPr>
          <w:b/>
        </w:rPr>
      </w:pPr>
      <w:r w:rsidRPr="00ED4C86">
        <w:rPr>
          <w:b/>
        </w:rPr>
        <w:t>Q</w:t>
      </w:r>
      <w:r w:rsidRPr="00ED4C86">
        <w:rPr>
          <w:b/>
        </w:rPr>
        <w:tab/>
        <w:t>PLEASE STATE YOUR NAME AND BUSINESS ADDRESS.</w:t>
      </w:r>
    </w:p>
    <w:p w14:paraId="44DF36AD" w14:textId="77777777" w:rsidR="00D54B54" w:rsidRPr="00ED4C86" w:rsidRDefault="00D54B54" w:rsidP="00D54B54">
      <w:pPr>
        <w:spacing w:line="480" w:lineRule="auto"/>
        <w:ind w:left="720" w:hanging="720"/>
        <w:jc w:val="both"/>
      </w:pPr>
      <w:r w:rsidRPr="00ED4C86">
        <w:t>A</w:t>
      </w:r>
      <w:r w:rsidRPr="00ED4C86">
        <w:tab/>
        <w:t xml:space="preserve">Michael P. Gorman.  My business address is 16690 </w:t>
      </w:r>
      <w:proofErr w:type="spellStart"/>
      <w:r w:rsidRPr="00ED4C86">
        <w:t>Swingley</w:t>
      </w:r>
      <w:proofErr w:type="spellEnd"/>
      <w:r w:rsidRPr="00ED4C86">
        <w:t xml:space="preserve"> Ridge Road, Suite 140, Chesterfield, MO 63017.</w:t>
      </w:r>
    </w:p>
    <w:p w14:paraId="42416D74" w14:textId="77777777" w:rsidR="00D54B54" w:rsidRPr="00ED4C86" w:rsidRDefault="00D54B54" w:rsidP="00D54B54">
      <w:pPr>
        <w:suppressLineNumbers/>
        <w:spacing w:line="480" w:lineRule="auto"/>
        <w:ind w:left="720" w:hanging="720"/>
        <w:jc w:val="both"/>
      </w:pPr>
    </w:p>
    <w:p w14:paraId="6310D67A" w14:textId="77777777" w:rsidR="00D54B54" w:rsidRPr="00ED4C86" w:rsidRDefault="00D54B54" w:rsidP="00D54B54">
      <w:pPr>
        <w:spacing w:line="480" w:lineRule="auto"/>
        <w:ind w:left="720" w:hanging="720"/>
        <w:jc w:val="both"/>
        <w:rPr>
          <w:b/>
        </w:rPr>
      </w:pPr>
      <w:r w:rsidRPr="00ED4C86">
        <w:rPr>
          <w:b/>
        </w:rPr>
        <w:t>Q</w:t>
      </w:r>
      <w:r w:rsidRPr="00ED4C86">
        <w:rPr>
          <w:b/>
        </w:rPr>
        <w:tab/>
        <w:t xml:space="preserve">WHAT IS YOUR OCCUPATION?  </w:t>
      </w:r>
    </w:p>
    <w:p w14:paraId="1800F046" w14:textId="77777777" w:rsidR="00D54B54" w:rsidRPr="00ED4C86" w:rsidRDefault="00D54B54" w:rsidP="00D54B54">
      <w:pPr>
        <w:spacing w:line="480" w:lineRule="auto"/>
        <w:ind w:left="720" w:hanging="720"/>
        <w:jc w:val="both"/>
      </w:pPr>
      <w:r w:rsidRPr="00ED4C86">
        <w:t>A</w:t>
      </w:r>
      <w:r w:rsidRPr="00ED4C86">
        <w:tab/>
        <w:t>I am a consultant in the field of public utility regulation and a Managing Principal of Brubaker &amp; Associates, Inc., energy, economic and regulatory consultants.</w:t>
      </w:r>
    </w:p>
    <w:p w14:paraId="770E5AC2" w14:textId="77777777" w:rsidR="00D54B54" w:rsidRPr="00ED4C86" w:rsidRDefault="00D54B54" w:rsidP="00D54B54">
      <w:pPr>
        <w:suppressLineNumbers/>
        <w:spacing w:line="480" w:lineRule="auto"/>
        <w:ind w:left="720" w:hanging="720"/>
        <w:jc w:val="both"/>
      </w:pPr>
    </w:p>
    <w:p w14:paraId="7CBCC08E" w14:textId="77777777" w:rsidR="00D54B54" w:rsidRPr="00ED4C86" w:rsidRDefault="00D54B54" w:rsidP="00D54B54">
      <w:pPr>
        <w:spacing w:line="480" w:lineRule="auto"/>
        <w:ind w:left="720" w:hanging="720"/>
        <w:jc w:val="both"/>
        <w:rPr>
          <w:b/>
        </w:rPr>
      </w:pPr>
      <w:r w:rsidRPr="00ED4C86">
        <w:rPr>
          <w:b/>
        </w:rPr>
        <w:t>Q</w:t>
      </w:r>
      <w:r w:rsidRPr="00ED4C86">
        <w:rPr>
          <w:b/>
        </w:rPr>
        <w:tab/>
        <w:t>PLEASE DESCRIBE YOUR EDUCATIONAL BACKGROUND AND EXPERIENCE.</w:t>
      </w:r>
    </w:p>
    <w:p w14:paraId="7033FFFE" w14:textId="77777777" w:rsidR="00D54B54" w:rsidRDefault="00D54B54" w:rsidP="00D54B54">
      <w:pPr>
        <w:spacing w:line="480" w:lineRule="auto"/>
        <w:ind w:left="720" w:hanging="720"/>
        <w:jc w:val="both"/>
      </w:pPr>
      <w:r w:rsidRPr="00ED4C86">
        <w:t>A</w:t>
      </w:r>
      <w:r w:rsidRPr="00ED4C86">
        <w:tab/>
        <w:t>This information is included in Appendix A to this testimony.</w:t>
      </w:r>
    </w:p>
    <w:p w14:paraId="15F0AF95" w14:textId="77777777" w:rsidR="00D54B54" w:rsidRPr="00ED4C86" w:rsidRDefault="00D54B54" w:rsidP="00D54B54">
      <w:pPr>
        <w:suppressLineNumbers/>
        <w:spacing w:line="480" w:lineRule="auto"/>
        <w:ind w:left="720" w:hanging="720"/>
        <w:jc w:val="both"/>
      </w:pPr>
    </w:p>
    <w:p w14:paraId="4D8CA7CB" w14:textId="77777777" w:rsidR="00D54B54" w:rsidRPr="00D7302D" w:rsidRDefault="00D54B54" w:rsidP="00D54B54">
      <w:pPr>
        <w:spacing w:line="480" w:lineRule="auto"/>
        <w:ind w:left="720" w:hanging="720"/>
        <w:jc w:val="both"/>
        <w:rPr>
          <w:b/>
          <w:color w:val="000000"/>
        </w:rPr>
      </w:pPr>
      <w:r>
        <w:rPr>
          <w:b/>
          <w:color w:val="000000"/>
        </w:rPr>
        <w:t>Q</w:t>
      </w:r>
      <w:r>
        <w:rPr>
          <w:b/>
          <w:color w:val="000000"/>
        </w:rPr>
        <w:tab/>
        <w:t>WHAT IS THE PURPOSE OF YOUR TESTIMONY?</w:t>
      </w:r>
    </w:p>
    <w:p w14:paraId="280DE739" w14:textId="77777777" w:rsidR="00D54B54" w:rsidRPr="007A7EDA" w:rsidRDefault="00D54B54" w:rsidP="00D54B54">
      <w:pPr>
        <w:tabs>
          <w:tab w:val="left" w:pos="-1440"/>
          <w:tab w:val="left" w:pos="1440"/>
        </w:tabs>
        <w:spacing w:line="480" w:lineRule="auto"/>
        <w:ind w:left="720" w:hanging="720"/>
        <w:jc w:val="both"/>
      </w:pPr>
      <w:r>
        <w:t>A</w:t>
      </w:r>
      <w:r>
        <w:tab/>
      </w:r>
      <w:r w:rsidRPr="002C207B">
        <w:t xml:space="preserve">My testimony will address </w:t>
      </w:r>
      <w:r>
        <w:t>El Paso Electric Company’s (“</w:t>
      </w:r>
      <w:proofErr w:type="spellStart"/>
      <w:r>
        <w:t>EPE</w:t>
      </w:r>
      <w:proofErr w:type="spellEnd"/>
      <w:r>
        <w:t xml:space="preserve">” or “Company”) </w:t>
      </w:r>
      <w:r w:rsidRPr="002C207B">
        <w:t>overall rate of return including return on equity, embedded debt cost, an</w:t>
      </w:r>
      <w:r>
        <w:t>d ratemaking capital structure.</w:t>
      </w:r>
    </w:p>
    <w:p w14:paraId="386C2C55" w14:textId="77777777" w:rsidR="00D54B54" w:rsidRPr="00BB5559" w:rsidRDefault="00D54B54" w:rsidP="00D54B54">
      <w:pPr>
        <w:suppressLineNumbers/>
        <w:spacing w:line="480" w:lineRule="auto"/>
        <w:ind w:left="720" w:hanging="720"/>
        <w:jc w:val="both"/>
        <w:rPr>
          <w:rFonts w:cs="Arial"/>
          <w:caps/>
          <w:szCs w:val="22"/>
        </w:rPr>
      </w:pPr>
    </w:p>
    <w:p w14:paraId="28ED7C51" w14:textId="77777777" w:rsidR="00D54B54" w:rsidRPr="007A7EDA" w:rsidRDefault="00D54B54" w:rsidP="00D54B54">
      <w:pPr>
        <w:spacing w:line="480" w:lineRule="auto"/>
        <w:ind w:left="720" w:hanging="720"/>
        <w:jc w:val="both"/>
        <w:rPr>
          <w:rFonts w:cs="Arial"/>
          <w:b/>
          <w:caps/>
          <w:szCs w:val="22"/>
        </w:rPr>
      </w:pPr>
      <w:r>
        <w:rPr>
          <w:rFonts w:cs="Arial"/>
          <w:b/>
          <w:caps/>
          <w:szCs w:val="22"/>
        </w:rPr>
        <w:lastRenderedPageBreak/>
        <w:t>Q</w:t>
      </w:r>
      <w:r>
        <w:rPr>
          <w:rFonts w:cs="Arial"/>
          <w:b/>
          <w:caps/>
          <w:szCs w:val="22"/>
        </w:rPr>
        <w:tab/>
      </w:r>
      <w:r w:rsidRPr="007A7EDA">
        <w:rPr>
          <w:rFonts w:cs="Arial"/>
          <w:b/>
          <w:caps/>
          <w:szCs w:val="22"/>
        </w:rPr>
        <w:t xml:space="preserve">DOES THE FACT THAT YOU DID NOT ADDRESS EVERY ISSUE RAISED IN </w:t>
      </w:r>
      <w:proofErr w:type="spellStart"/>
      <w:r>
        <w:rPr>
          <w:rFonts w:cs="Arial"/>
          <w:b/>
          <w:caps/>
          <w:szCs w:val="22"/>
        </w:rPr>
        <w:t>EPE’</w:t>
      </w:r>
      <w:r w:rsidRPr="007A7EDA">
        <w:rPr>
          <w:rFonts w:cs="Arial"/>
          <w:b/>
          <w:caps/>
          <w:szCs w:val="22"/>
        </w:rPr>
        <w:t>S</w:t>
      </w:r>
      <w:proofErr w:type="spellEnd"/>
      <w:r w:rsidRPr="007A7EDA">
        <w:rPr>
          <w:rFonts w:cs="Arial"/>
          <w:b/>
          <w:caps/>
          <w:szCs w:val="22"/>
        </w:rPr>
        <w:t xml:space="preserve"> TESTIMONY MEAN THAT YOU AGREE WITH </w:t>
      </w:r>
      <w:proofErr w:type="spellStart"/>
      <w:r>
        <w:rPr>
          <w:rFonts w:cs="Arial"/>
          <w:b/>
          <w:caps/>
          <w:szCs w:val="22"/>
        </w:rPr>
        <w:t>EPE’</w:t>
      </w:r>
      <w:r w:rsidRPr="007A7EDA">
        <w:rPr>
          <w:rFonts w:cs="Arial"/>
          <w:b/>
          <w:caps/>
          <w:szCs w:val="22"/>
        </w:rPr>
        <w:t>S</w:t>
      </w:r>
      <w:proofErr w:type="spellEnd"/>
      <w:r w:rsidRPr="007A7EDA">
        <w:rPr>
          <w:rFonts w:cs="Arial"/>
          <w:b/>
          <w:caps/>
          <w:szCs w:val="22"/>
        </w:rPr>
        <w:t xml:space="preserve"> TESTIMONY ON THOSE ISSUES?</w:t>
      </w:r>
    </w:p>
    <w:p w14:paraId="39C6F52F" w14:textId="77777777" w:rsidR="00D54B54" w:rsidRDefault="00D54B54" w:rsidP="00D54B54">
      <w:pPr>
        <w:spacing w:line="480" w:lineRule="auto"/>
        <w:ind w:left="720" w:hanging="720"/>
        <w:jc w:val="both"/>
        <w:rPr>
          <w:rFonts w:cs="Arial"/>
          <w:szCs w:val="22"/>
        </w:rPr>
      </w:pPr>
      <w:r>
        <w:rPr>
          <w:rFonts w:cs="Arial"/>
          <w:szCs w:val="22"/>
        </w:rPr>
        <w:t>A</w:t>
      </w:r>
      <w:r>
        <w:rPr>
          <w:rFonts w:cs="Arial"/>
          <w:szCs w:val="22"/>
        </w:rPr>
        <w:tab/>
      </w:r>
      <w:r w:rsidRPr="007A7EDA">
        <w:rPr>
          <w:rFonts w:cs="Arial"/>
          <w:szCs w:val="22"/>
        </w:rPr>
        <w:t>No.  It merely reflects that I chose not to address all those issues</w:t>
      </w:r>
      <w:r>
        <w:rPr>
          <w:rFonts w:cs="Arial"/>
          <w:szCs w:val="22"/>
        </w:rPr>
        <w:t xml:space="preserve"> in my testimony</w:t>
      </w:r>
      <w:r w:rsidRPr="007A7EDA">
        <w:rPr>
          <w:rFonts w:cs="Arial"/>
          <w:szCs w:val="22"/>
        </w:rPr>
        <w:t xml:space="preserve">.  It should not be read as an endorsement of, or agreement with, </w:t>
      </w:r>
      <w:proofErr w:type="spellStart"/>
      <w:r>
        <w:rPr>
          <w:rFonts w:cs="Arial"/>
          <w:szCs w:val="22"/>
        </w:rPr>
        <w:t>EPE’</w:t>
      </w:r>
      <w:r w:rsidRPr="007A7EDA">
        <w:rPr>
          <w:rFonts w:cs="Arial"/>
          <w:szCs w:val="22"/>
        </w:rPr>
        <w:t>s</w:t>
      </w:r>
      <w:proofErr w:type="spellEnd"/>
      <w:r w:rsidRPr="007A7EDA">
        <w:rPr>
          <w:rFonts w:cs="Arial"/>
          <w:szCs w:val="22"/>
        </w:rPr>
        <w:t xml:space="preserve"> position on such issues.</w:t>
      </w:r>
    </w:p>
    <w:p w14:paraId="20B8EA09" w14:textId="77777777" w:rsidR="00D54B54" w:rsidRPr="007A7EDA" w:rsidRDefault="00D54B54" w:rsidP="00D54B54">
      <w:pPr>
        <w:suppressLineNumbers/>
        <w:spacing w:line="480" w:lineRule="auto"/>
        <w:ind w:left="720" w:hanging="720"/>
        <w:jc w:val="both"/>
        <w:rPr>
          <w:rFonts w:cs="Arial"/>
          <w:szCs w:val="22"/>
        </w:rPr>
      </w:pPr>
    </w:p>
    <w:p w14:paraId="70F72C90" w14:textId="77777777" w:rsidR="00D54B54" w:rsidRPr="002C207B" w:rsidRDefault="00D54B54" w:rsidP="00D54B54">
      <w:pPr>
        <w:spacing w:line="480" w:lineRule="auto"/>
        <w:ind w:left="720" w:hanging="720"/>
        <w:jc w:val="both"/>
        <w:rPr>
          <w:rFonts w:cs="Arial"/>
          <w:b/>
          <w:caps/>
          <w:szCs w:val="22"/>
        </w:rPr>
      </w:pPr>
      <w:r w:rsidRPr="002C207B">
        <w:rPr>
          <w:rFonts w:cs="Arial"/>
          <w:b/>
          <w:caps/>
          <w:szCs w:val="22"/>
        </w:rPr>
        <w:t>Q</w:t>
      </w:r>
      <w:r w:rsidRPr="002C207B">
        <w:rPr>
          <w:rFonts w:cs="Arial"/>
          <w:b/>
          <w:caps/>
          <w:szCs w:val="22"/>
        </w:rPr>
        <w:tab/>
        <w:t>PLEASE SUMMARIZE YOUR RECOMMENDATIONS AND CONCLUSIONS ON RETURN ON EQUITY.</w:t>
      </w:r>
    </w:p>
    <w:p w14:paraId="55759396" w14:textId="77777777" w:rsidR="00D54B54" w:rsidRDefault="00D54B54" w:rsidP="00D54B54">
      <w:pPr>
        <w:spacing w:line="480" w:lineRule="auto"/>
        <w:ind w:left="720" w:right="-18" w:hanging="720"/>
        <w:jc w:val="both"/>
        <w:rPr>
          <w:rFonts w:cs="Arial"/>
          <w:szCs w:val="22"/>
        </w:rPr>
      </w:pPr>
      <w:r w:rsidRPr="002C207B">
        <w:rPr>
          <w:rFonts w:cs="Arial"/>
          <w:szCs w:val="22"/>
        </w:rPr>
        <w:t>A</w:t>
      </w:r>
      <w:r w:rsidRPr="002C207B">
        <w:rPr>
          <w:rFonts w:cs="Arial"/>
          <w:szCs w:val="22"/>
        </w:rPr>
        <w:tab/>
        <w:t xml:space="preserve">I recommend the </w:t>
      </w:r>
      <w:r>
        <w:rPr>
          <w:rFonts w:cs="Arial"/>
          <w:szCs w:val="22"/>
        </w:rPr>
        <w:t>Public Utility Commission of Texas</w:t>
      </w:r>
      <w:r w:rsidRPr="002C207B">
        <w:rPr>
          <w:rFonts w:cs="Arial"/>
          <w:szCs w:val="22"/>
        </w:rPr>
        <w:t xml:space="preserve"> (</w:t>
      </w:r>
      <w:r>
        <w:rPr>
          <w:rFonts w:cs="Arial"/>
          <w:szCs w:val="22"/>
        </w:rPr>
        <w:t>“</w:t>
      </w:r>
      <w:r w:rsidRPr="002C207B">
        <w:rPr>
          <w:rFonts w:cs="Arial"/>
          <w:szCs w:val="22"/>
        </w:rPr>
        <w:t>Commission</w:t>
      </w:r>
      <w:r>
        <w:rPr>
          <w:rFonts w:cs="Arial"/>
          <w:szCs w:val="22"/>
        </w:rPr>
        <w:t>” or “</w:t>
      </w:r>
      <w:proofErr w:type="spellStart"/>
      <w:r>
        <w:rPr>
          <w:rFonts w:cs="Arial"/>
          <w:szCs w:val="22"/>
        </w:rPr>
        <w:t>PUCT</w:t>
      </w:r>
      <w:proofErr w:type="spellEnd"/>
      <w:r>
        <w:rPr>
          <w:rFonts w:cs="Arial"/>
          <w:szCs w:val="22"/>
        </w:rPr>
        <w:t>”</w:t>
      </w:r>
      <w:r w:rsidRPr="002C207B">
        <w:rPr>
          <w:rFonts w:cs="Arial"/>
          <w:szCs w:val="22"/>
        </w:rPr>
        <w:t>) award a return on common equ</w:t>
      </w:r>
      <w:r>
        <w:rPr>
          <w:rFonts w:cs="Arial"/>
          <w:szCs w:val="22"/>
        </w:rPr>
        <w:t>ity in the range of 9.00% to 9.4</w:t>
      </w:r>
      <w:r w:rsidRPr="002C207B">
        <w:rPr>
          <w:rFonts w:cs="Arial"/>
          <w:szCs w:val="22"/>
        </w:rPr>
        <w:t>0%, with a midpoint of 9.2</w:t>
      </w:r>
      <w:r>
        <w:rPr>
          <w:rFonts w:cs="Arial"/>
          <w:szCs w:val="22"/>
        </w:rPr>
        <w:t>0</w:t>
      </w:r>
      <w:r w:rsidRPr="002C207B">
        <w:rPr>
          <w:rFonts w:cs="Arial"/>
          <w:szCs w:val="22"/>
        </w:rPr>
        <w:t xml:space="preserve">%.  This return on equity reflects </w:t>
      </w:r>
      <w:proofErr w:type="spellStart"/>
      <w:r>
        <w:rPr>
          <w:rFonts w:eastAsia="Calibri" w:cs="Arial"/>
          <w:szCs w:val="22"/>
        </w:rPr>
        <w:t>EPE</w:t>
      </w:r>
      <w:r>
        <w:rPr>
          <w:rFonts w:cs="Arial"/>
          <w:szCs w:val="22"/>
        </w:rPr>
        <w:t>’</w:t>
      </w:r>
      <w:r w:rsidRPr="002C207B">
        <w:rPr>
          <w:rFonts w:cs="Arial"/>
          <w:szCs w:val="22"/>
        </w:rPr>
        <w:t>s</w:t>
      </w:r>
      <w:proofErr w:type="spellEnd"/>
      <w:r w:rsidRPr="002C207B">
        <w:rPr>
          <w:rFonts w:cs="Arial"/>
          <w:szCs w:val="22"/>
        </w:rPr>
        <w:t xml:space="preserve"> current market cost of equity.  I recommend the Commission approve a return on equity that reflects </w:t>
      </w:r>
      <w:r>
        <w:rPr>
          <w:rFonts w:cs="Arial"/>
          <w:szCs w:val="22"/>
        </w:rPr>
        <w:t xml:space="preserve">fair compensation for </w:t>
      </w:r>
      <w:proofErr w:type="spellStart"/>
      <w:r>
        <w:rPr>
          <w:rFonts w:eastAsia="Calibri" w:cs="Arial"/>
          <w:szCs w:val="22"/>
        </w:rPr>
        <w:t>EPE</w:t>
      </w:r>
      <w:r>
        <w:rPr>
          <w:rFonts w:cs="Arial"/>
          <w:szCs w:val="22"/>
        </w:rPr>
        <w:t>’s</w:t>
      </w:r>
      <w:proofErr w:type="spellEnd"/>
      <w:r>
        <w:rPr>
          <w:rFonts w:cs="Arial"/>
          <w:szCs w:val="22"/>
        </w:rPr>
        <w:t xml:space="preserve"> level of investment risk,</w:t>
      </w:r>
      <w:r w:rsidRPr="002C207B">
        <w:rPr>
          <w:rFonts w:cs="Arial"/>
          <w:szCs w:val="22"/>
        </w:rPr>
        <w:t xml:space="preserve"> and </w:t>
      </w:r>
      <w:r>
        <w:rPr>
          <w:rFonts w:cs="Arial"/>
          <w:szCs w:val="22"/>
        </w:rPr>
        <w:t xml:space="preserve">impose tariff rate </w:t>
      </w:r>
      <w:r w:rsidRPr="002C207B">
        <w:rPr>
          <w:rFonts w:cs="Arial"/>
          <w:szCs w:val="22"/>
        </w:rPr>
        <w:t xml:space="preserve">charges </w:t>
      </w:r>
      <w:r>
        <w:rPr>
          <w:rFonts w:cs="Arial"/>
          <w:szCs w:val="22"/>
        </w:rPr>
        <w:t xml:space="preserve">on </w:t>
      </w:r>
      <w:r w:rsidRPr="002C207B">
        <w:rPr>
          <w:rFonts w:cs="Arial"/>
          <w:szCs w:val="22"/>
        </w:rPr>
        <w:t xml:space="preserve">customers </w:t>
      </w:r>
      <w:r>
        <w:rPr>
          <w:rFonts w:cs="Arial"/>
          <w:szCs w:val="22"/>
        </w:rPr>
        <w:t xml:space="preserve">that are </w:t>
      </w:r>
      <w:r w:rsidRPr="002C207B">
        <w:rPr>
          <w:rFonts w:cs="Arial"/>
          <w:szCs w:val="22"/>
        </w:rPr>
        <w:t xml:space="preserve">no more </w:t>
      </w:r>
      <w:r>
        <w:rPr>
          <w:rFonts w:cs="Arial"/>
          <w:szCs w:val="22"/>
        </w:rPr>
        <w:t xml:space="preserve">expensive </w:t>
      </w:r>
      <w:r w:rsidRPr="002C207B">
        <w:rPr>
          <w:rFonts w:cs="Arial"/>
          <w:szCs w:val="22"/>
        </w:rPr>
        <w:t xml:space="preserve">than necessary to fairly compensate </w:t>
      </w:r>
      <w:r>
        <w:rPr>
          <w:rFonts w:eastAsia="Calibri" w:cs="Arial"/>
          <w:szCs w:val="22"/>
        </w:rPr>
        <w:t>the Company</w:t>
      </w:r>
      <w:r w:rsidRPr="002C207B">
        <w:rPr>
          <w:rFonts w:cs="Arial"/>
          <w:szCs w:val="22"/>
        </w:rPr>
        <w:t xml:space="preserve"> and maintain its financial integrity and credit standing.  </w:t>
      </w:r>
    </w:p>
    <w:p w14:paraId="6859EE9E" w14:textId="77777777" w:rsidR="00657756" w:rsidRPr="007A7EDA" w:rsidRDefault="00657756" w:rsidP="00657756">
      <w:pPr>
        <w:suppressLineNumbers/>
        <w:spacing w:line="480" w:lineRule="auto"/>
        <w:ind w:left="720" w:hanging="720"/>
        <w:jc w:val="both"/>
        <w:rPr>
          <w:rFonts w:cs="Arial"/>
          <w:szCs w:val="22"/>
        </w:rPr>
      </w:pPr>
    </w:p>
    <w:p w14:paraId="4A976E08" w14:textId="77777777" w:rsidR="00D54B54" w:rsidRDefault="00D54B54" w:rsidP="00D54B54">
      <w:pPr>
        <w:spacing w:line="480" w:lineRule="auto"/>
        <w:ind w:left="720" w:right="-18" w:hanging="720"/>
        <w:jc w:val="both"/>
        <w:rPr>
          <w:rFonts w:cs="Arial"/>
          <w:b/>
          <w:szCs w:val="22"/>
        </w:rPr>
      </w:pPr>
      <w:r>
        <w:rPr>
          <w:rFonts w:cs="Arial"/>
          <w:b/>
          <w:szCs w:val="22"/>
        </w:rPr>
        <w:t>Q</w:t>
      </w:r>
      <w:r>
        <w:rPr>
          <w:rFonts w:cs="Arial"/>
          <w:b/>
          <w:szCs w:val="22"/>
        </w:rPr>
        <w:tab/>
        <w:t xml:space="preserve">ARE YOU RECOMMENDING AN OVERALL RATE OF RETURN FOR </w:t>
      </w:r>
      <w:proofErr w:type="spellStart"/>
      <w:r>
        <w:rPr>
          <w:rFonts w:cs="Arial"/>
          <w:b/>
          <w:szCs w:val="22"/>
        </w:rPr>
        <w:t>EPE</w:t>
      </w:r>
      <w:proofErr w:type="spellEnd"/>
      <w:r>
        <w:rPr>
          <w:rFonts w:cs="Arial"/>
          <w:b/>
          <w:szCs w:val="22"/>
        </w:rPr>
        <w:t xml:space="preserve"> IN THIS CASE?</w:t>
      </w:r>
    </w:p>
    <w:p w14:paraId="2E65067E" w14:textId="77777777" w:rsidR="00D54B54" w:rsidRPr="00E77D92" w:rsidRDefault="00D54B54" w:rsidP="00D54B54">
      <w:pPr>
        <w:spacing w:line="480" w:lineRule="auto"/>
        <w:ind w:left="720" w:right="-18" w:hanging="720"/>
        <w:jc w:val="both"/>
        <w:rPr>
          <w:rFonts w:cs="Arial"/>
          <w:szCs w:val="22"/>
        </w:rPr>
      </w:pPr>
      <w:r>
        <w:rPr>
          <w:rFonts w:cs="Arial"/>
          <w:szCs w:val="22"/>
        </w:rPr>
        <w:t>A</w:t>
      </w:r>
      <w:r>
        <w:rPr>
          <w:rFonts w:cs="Arial"/>
          <w:szCs w:val="22"/>
        </w:rPr>
        <w:tab/>
        <w:t xml:space="preserve">Yes.  </w:t>
      </w:r>
      <w:r w:rsidRPr="002C207B">
        <w:rPr>
          <w:rFonts w:cs="Arial"/>
          <w:szCs w:val="22"/>
        </w:rPr>
        <w:t>As shown on m</w:t>
      </w:r>
      <w:r w:rsidRPr="00DA6D6D">
        <w:rPr>
          <w:rFonts w:cs="Arial"/>
          <w:szCs w:val="22"/>
        </w:rPr>
        <w:t xml:space="preserve">y </w:t>
      </w:r>
      <w:r w:rsidRPr="00E92E03">
        <w:rPr>
          <w:rFonts w:cs="Arial"/>
          <w:szCs w:val="22"/>
        </w:rPr>
        <w:t>Exhibit MPG-1</w:t>
      </w:r>
      <w:r w:rsidRPr="00DA6D6D">
        <w:rPr>
          <w:rFonts w:cs="Arial"/>
          <w:szCs w:val="22"/>
        </w:rPr>
        <w:t>, my recomme</w:t>
      </w:r>
      <w:r w:rsidRPr="002C207B">
        <w:rPr>
          <w:rFonts w:cs="Arial"/>
          <w:szCs w:val="22"/>
        </w:rPr>
        <w:t xml:space="preserve">nded overall rate of return is </w:t>
      </w:r>
      <w:r>
        <w:rPr>
          <w:rFonts w:cs="Arial"/>
          <w:szCs w:val="22"/>
        </w:rPr>
        <w:t>7.42</w:t>
      </w:r>
      <w:r w:rsidRPr="002C207B">
        <w:rPr>
          <w:rFonts w:cs="Arial"/>
          <w:szCs w:val="22"/>
        </w:rPr>
        <w:t xml:space="preserve">%, which reflects my recommended return on equity </w:t>
      </w:r>
      <w:r>
        <w:rPr>
          <w:rFonts w:cs="Arial"/>
          <w:szCs w:val="22"/>
        </w:rPr>
        <w:t xml:space="preserve">of 9.20% </w:t>
      </w:r>
      <w:r w:rsidRPr="002C207B">
        <w:rPr>
          <w:rFonts w:cs="Arial"/>
          <w:szCs w:val="22"/>
        </w:rPr>
        <w:t xml:space="preserve">and </w:t>
      </w:r>
      <w:r>
        <w:rPr>
          <w:rFonts w:cs="Arial"/>
          <w:szCs w:val="22"/>
        </w:rPr>
        <w:t xml:space="preserve">the Company’s proposed </w:t>
      </w:r>
      <w:r w:rsidRPr="002C207B">
        <w:rPr>
          <w:rFonts w:cs="Arial"/>
          <w:szCs w:val="22"/>
        </w:rPr>
        <w:t>capital structure.</w:t>
      </w:r>
    </w:p>
    <w:p w14:paraId="74B6E497" w14:textId="77777777" w:rsidR="00D54B54" w:rsidRPr="00ED4C86" w:rsidRDefault="00D54B54" w:rsidP="00D54B54">
      <w:pPr>
        <w:suppressLineNumbers/>
        <w:spacing w:line="480" w:lineRule="auto"/>
        <w:ind w:left="720" w:hanging="720"/>
        <w:jc w:val="both"/>
      </w:pPr>
    </w:p>
    <w:p w14:paraId="276C6660" w14:textId="77777777" w:rsidR="00D54B54" w:rsidRPr="002C207B" w:rsidRDefault="00D54B54" w:rsidP="00D54B54">
      <w:pPr>
        <w:spacing w:line="480" w:lineRule="auto"/>
        <w:ind w:left="720" w:hanging="720"/>
        <w:jc w:val="both"/>
        <w:rPr>
          <w:rFonts w:eastAsia="Calibri" w:cs="Arial"/>
          <w:b/>
          <w:bCs/>
          <w:caps/>
          <w:szCs w:val="22"/>
        </w:rPr>
      </w:pPr>
      <w:r w:rsidRPr="002C207B">
        <w:rPr>
          <w:rFonts w:eastAsia="Calibri" w:cs="Arial"/>
          <w:b/>
          <w:bCs/>
          <w:caps/>
          <w:szCs w:val="22"/>
        </w:rPr>
        <w:t>Q</w:t>
      </w:r>
      <w:r w:rsidRPr="002C207B">
        <w:rPr>
          <w:rFonts w:eastAsia="Calibri" w:cs="Arial"/>
          <w:b/>
          <w:bCs/>
          <w:caps/>
          <w:szCs w:val="22"/>
        </w:rPr>
        <w:tab/>
        <w:t xml:space="preserve">PLEASE </w:t>
      </w:r>
      <w:r w:rsidRPr="002C207B">
        <w:rPr>
          <w:rFonts w:cs="Arial"/>
          <w:b/>
          <w:bCs/>
          <w:caps/>
          <w:szCs w:val="22"/>
        </w:rPr>
        <w:t>DESCRIBE</w:t>
      </w:r>
      <w:r w:rsidRPr="002C207B">
        <w:rPr>
          <w:rFonts w:eastAsia="Calibri" w:cs="Arial"/>
          <w:b/>
          <w:bCs/>
          <w:caps/>
          <w:szCs w:val="22"/>
        </w:rPr>
        <w:t xml:space="preserve"> </w:t>
      </w:r>
      <w:r>
        <w:rPr>
          <w:rFonts w:eastAsia="Calibri" w:cs="Arial"/>
          <w:b/>
          <w:bCs/>
          <w:caps/>
          <w:szCs w:val="22"/>
        </w:rPr>
        <w:t xml:space="preserve">HOW </w:t>
      </w:r>
      <w:r w:rsidRPr="002C207B">
        <w:rPr>
          <w:rFonts w:eastAsia="Calibri" w:cs="Arial"/>
          <w:b/>
          <w:bCs/>
          <w:caps/>
          <w:szCs w:val="22"/>
        </w:rPr>
        <w:t>YOUR TESTIMONY</w:t>
      </w:r>
      <w:r>
        <w:rPr>
          <w:rFonts w:eastAsia="Calibri" w:cs="Arial"/>
          <w:b/>
          <w:bCs/>
          <w:caps/>
          <w:szCs w:val="22"/>
        </w:rPr>
        <w:t xml:space="preserve"> IS ORGANIZED</w:t>
      </w:r>
      <w:r w:rsidRPr="002C207B">
        <w:rPr>
          <w:rFonts w:eastAsia="Calibri" w:cs="Arial"/>
          <w:b/>
          <w:bCs/>
          <w:caps/>
          <w:szCs w:val="22"/>
        </w:rPr>
        <w:t>.</w:t>
      </w:r>
    </w:p>
    <w:p w14:paraId="04A02B8C" w14:textId="25D9596A" w:rsidR="00D54B54" w:rsidRDefault="00D54B54" w:rsidP="00D54B54">
      <w:pPr>
        <w:spacing w:line="480" w:lineRule="auto"/>
        <w:ind w:left="720" w:hanging="720"/>
        <w:jc w:val="both"/>
        <w:rPr>
          <w:rFonts w:eastAsia="Calibri" w:cs="Arial"/>
          <w:szCs w:val="22"/>
        </w:rPr>
      </w:pPr>
      <w:r w:rsidRPr="002C207B">
        <w:rPr>
          <w:rFonts w:eastAsia="Calibri" w:cs="Arial"/>
          <w:szCs w:val="22"/>
        </w:rPr>
        <w:t>A</w:t>
      </w:r>
      <w:r w:rsidRPr="002C207B">
        <w:rPr>
          <w:rFonts w:eastAsia="Calibri" w:cs="Arial"/>
          <w:szCs w:val="22"/>
        </w:rPr>
        <w:tab/>
      </w:r>
      <w:r>
        <w:rPr>
          <w:rFonts w:eastAsia="Calibri" w:cs="Arial"/>
          <w:szCs w:val="22"/>
        </w:rPr>
        <w:t xml:space="preserve">First, I provide </w:t>
      </w:r>
      <w:r w:rsidRPr="002C207B">
        <w:rPr>
          <w:rFonts w:eastAsia="Calibri" w:cs="Arial"/>
          <w:szCs w:val="22"/>
        </w:rPr>
        <w:t>observable</w:t>
      </w:r>
      <w:r>
        <w:rPr>
          <w:rFonts w:eastAsia="Calibri" w:cs="Arial"/>
          <w:szCs w:val="22"/>
        </w:rPr>
        <w:t xml:space="preserve"> evidence on current </w:t>
      </w:r>
      <w:r w:rsidRPr="002C207B">
        <w:rPr>
          <w:rFonts w:eastAsia="Calibri" w:cs="Arial"/>
          <w:szCs w:val="22"/>
        </w:rPr>
        <w:t>market</w:t>
      </w:r>
      <w:r>
        <w:rPr>
          <w:rFonts w:eastAsia="Calibri" w:cs="Arial"/>
          <w:szCs w:val="22"/>
        </w:rPr>
        <w:t xml:space="preserve"> costs and regulatory support for financial integrity, credit standing, and access to capital.  Second, I estimate </w:t>
      </w:r>
      <w:proofErr w:type="spellStart"/>
      <w:r>
        <w:rPr>
          <w:rFonts w:eastAsia="Calibri" w:cs="Arial"/>
          <w:szCs w:val="22"/>
        </w:rPr>
        <w:t>EPE’s</w:t>
      </w:r>
      <w:proofErr w:type="spellEnd"/>
      <w:r>
        <w:rPr>
          <w:rFonts w:eastAsia="Calibri" w:cs="Arial"/>
          <w:szCs w:val="22"/>
        </w:rPr>
        <w:t xml:space="preserve"> </w:t>
      </w:r>
      <w:r>
        <w:rPr>
          <w:rFonts w:eastAsia="Calibri" w:cs="Arial"/>
          <w:szCs w:val="22"/>
        </w:rPr>
        <w:lastRenderedPageBreak/>
        <w:t xml:space="preserve">current market cost of equity using </w:t>
      </w:r>
      <w:r w:rsidRPr="002C207B">
        <w:rPr>
          <w:rFonts w:eastAsia="Calibri" w:cs="Arial"/>
          <w:szCs w:val="22"/>
        </w:rPr>
        <w:t xml:space="preserve">market-based </w:t>
      </w:r>
      <w:r>
        <w:rPr>
          <w:rFonts w:eastAsia="Calibri" w:cs="Arial"/>
          <w:szCs w:val="22"/>
        </w:rPr>
        <w:t xml:space="preserve">cost of capital </w:t>
      </w:r>
      <w:r w:rsidRPr="002C207B">
        <w:rPr>
          <w:rFonts w:eastAsia="Calibri" w:cs="Arial"/>
          <w:szCs w:val="22"/>
        </w:rPr>
        <w:t xml:space="preserve">models to estimate the current market-required return </w:t>
      </w:r>
      <w:r>
        <w:rPr>
          <w:rFonts w:eastAsia="Calibri" w:cs="Arial"/>
          <w:szCs w:val="22"/>
        </w:rPr>
        <w:t xml:space="preserve">on equity that </w:t>
      </w:r>
      <w:r w:rsidRPr="002C207B">
        <w:rPr>
          <w:rFonts w:eastAsia="Calibri" w:cs="Arial"/>
          <w:szCs w:val="22"/>
        </w:rPr>
        <w:t xml:space="preserve">investors demand to assume the investment </w:t>
      </w:r>
      <w:r>
        <w:rPr>
          <w:rFonts w:eastAsia="Calibri" w:cs="Arial"/>
          <w:szCs w:val="22"/>
        </w:rPr>
        <w:t xml:space="preserve">risk </w:t>
      </w:r>
      <w:r w:rsidRPr="002C207B">
        <w:rPr>
          <w:rFonts w:eastAsia="Calibri" w:cs="Arial"/>
          <w:szCs w:val="22"/>
        </w:rPr>
        <w:t xml:space="preserve">similar to </w:t>
      </w:r>
      <w:proofErr w:type="spellStart"/>
      <w:r>
        <w:rPr>
          <w:rFonts w:eastAsia="Calibri" w:cs="Arial"/>
          <w:szCs w:val="22"/>
        </w:rPr>
        <w:t>EPE</w:t>
      </w:r>
      <w:proofErr w:type="spellEnd"/>
      <w:r w:rsidRPr="002C207B">
        <w:rPr>
          <w:rFonts w:eastAsia="Calibri" w:cs="Arial"/>
          <w:szCs w:val="22"/>
        </w:rPr>
        <w:t>.</w:t>
      </w:r>
      <w:r w:rsidRPr="00DA6987">
        <w:rPr>
          <w:rFonts w:eastAsia="Calibri" w:cs="Arial"/>
          <w:szCs w:val="22"/>
        </w:rPr>
        <w:t xml:space="preserve"> </w:t>
      </w:r>
      <w:r>
        <w:rPr>
          <w:rFonts w:eastAsia="Calibri" w:cs="Arial"/>
          <w:szCs w:val="22"/>
        </w:rPr>
        <w:t xml:space="preserve"> Third, I rely on my recommended rate of return and the Company’s test year filing to develop credit metrics, which demonstrate that my recommended rate of return for </w:t>
      </w:r>
      <w:proofErr w:type="spellStart"/>
      <w:r>
        <w:rPr>
          <w:rFonts w:eastAsia="Calibri" w:cs="Arial"/>
          <w:szCs w:val="22"/>
        </w:rPr>
        <w:t>EPE</w:t>
      </w:r>
      <w:proofErr w:type="spellEnd"/>
      <w:r>
        <w:rPr>
          <w:rFonts w:eastAsia="Calibri" w:cs="Arial"/>
          <w:szCs w:val="22"/>
        </w:rPr>
        <w:t xml:space="preserve"> will support its investment grade bond rating, and support its access to capital.  Finally, I respond to </w:t>
      </w:r>
      <w:proofErr w:type="spellStart"/>
      <w:r>
        <w:rPr>
          <w:rFonts w:eastAsia="Calibri" w:cs="Arial"/>
          <w:szCs w:val="22"/>
        </w:rPr>
        <w:t>EPE</w:t>
      </w:r>
      <w:proofErr w:type="spellEnd"/>
      <w:r>
        <w:rPr>
          <w:rFonts w:eastAsia="Calibri" w:cs="Arial"/>
          <w:szCs w:val="22"/>
        </w:rPr>
        <w:t xml:space="preserve"> witness Ms. Jennifer E. Nelson’s recommended return on equity.  Ms. Nelson recommends a return on equity in the range of 9.75% to 10.75%</w:t>
      </w:r>
      <w:r w:rsidR="00657756">
        <w:rPr>
          <w:rFonts w:eastAsia="Calibri" w:cs="Arial"/>
          <w:szCs w:val="22"/>
        </w:rPr>
        <w:t>, and point estimate of 10.30%</w:t>
      </w:r>
      <w:r>
        <w:rPr>
          <w:rFonts w:eastAsia="Calibri" w:cs="Arial"/>
          <w:szCs w:val="22"/>
        </w:rPr>
        <w:t xml:space="preserve">.  I comment on her analysis and show that her recommended return on equity substantially exceeds the current market cost of capital for companies with investment risk similar to that of </w:t>
      </w:r>
      <w:proofErr w:type="spellStart"/>
      <w:r>
        <w:rPr>
          <w:rFonts w:eastAsia="Calibri" w:cs="Arial"/>
          <w:szCs w:val="22"/>
        </w:rPr>
        <w:t>EPE</w:t>
      </w:r>
      <w:proofErr w:type="spellEnd"/>
      <w:r>
        <w:rPr>
          <w:rFonts w:eastAsia="Calibri" w:cs="Arial"/>
          <w:szCs w:val="22"/>
        </w:rPr>
        <w:t xml:space="preserve">.  Ms. Nelson’s recommended return on equity unnecessarily inflates </w:t>
      </w:r>
      <w:proofErr w:type="spellStart"/>
      <w:r>
        <w:rPr>
          <w:rFonts w:eastAsia="Calibri" w:cs="Arial"/>
          <w:szCs w:val="22"/>
        </w:rPr>
        <w:t>EPE’s</w:t>
      </w:r>
      <w:proofErr w:type="spellEnd"/>
      <w:r>
        <w:rPr>
          <w:rFonts w:eastAsia="Calibri" w:cs="Arial"/>
          <w:szCs w:val="22"/>
        </w:rPr>
        <w:t xml:space="preserve"> claimed revenue deficiency, and would increase rates beyond a just and reasonable level.</w:t>
      </w:r>
    </w:p>
    <w:p w14:paraId="0FB355F5" w14:textId="77777777" w:rsidR="00D54B54" w:rsidRPr="002C207B" w:rsidRDefault="00D54B54" w:rsidP="00D54B54">
      <w:pPr>
        <w:suppressLineNumbers/>
        <w:spacing w:line="480" w:lineRule="auto"/>
        <w:ind w:left="720" w:hanging="720"/>
        <w:jc w:val="both"/>
        <w:rPr>
          <w:rFonts w:eastAsia="Calibri" w:cs="Arial"/>
          <w:szCs w:val="22"/>
        </w:rPr>
      </w:pPr>
    </w:p>
    <w:p w14:paraId="6DF53F0A" w14:textId="77777777" w:rsidR="00D54B54" w:rsidRPr="00CA55E3" w:rsidRDefault="00D54B54" w:rsidP="00D54B54">
      <w:pPr>
        <w:pStyle w:val="Heading1"/>
      </w:pPr>
      <w:bookmarkStart w:id="18" w:name="_Toc85028718"/>
      <w:r w:rsidRPr="00FD3620">
        <w:t>I.  CAPITA</w:t>
      </w:r>
      <w:r>
        <w:t>L MARKET OBSERVABLE EVIDENCE</w:t>
      </w:r>
      <w:bookmarkEnd w:id="18"/>
    </w:p>
    <w:p w14:paraId="748054D2" w14:textId="77777777" w:rsidR="00D54B54" w:rsidRPr="002C207B" w:rsidRDefault="00D54B54" w:rsidP="00D54B54">
      <w:pPr>
        <w:keepNext/>
        <w:keepLines/>
        <w:outlineLvl w:val="0"/>
        <w:rPr>
          <w:rFonts w:cs="Arial"/>
          <w:b/>
          <w:szCs w:val="22"/>
        </w:rPr>
      </w:pPr>
      <w:bookmarkStart w:id="19" w:name="_Toc63936851"/>
      <w:bookmarkStart w:id="20" w:name="_Toc85028719"/>
      <w:bookmarkStart w:id="21" w:name="_Toc63936852"/>
      <w:proofErr w:type="spellStart"/>
      <w:r w:rsidRPr="002C207B">
        <w:rPr>
          <w:rFonts w:cs="Arial"/>
          <w:b/>
          <w:szCs w:val="22"/>
        </w:rPr>
        <w:t>I.A</w:t>
      </w:r>
      <w:proofErr w:type="spellEnd"/>
      <w:r w:rsidRPr="002C207B">
        <w:rPr>
          <w:rFonts w:cs="Arial"/>
          <w:b/>
          <w:szCs w:val="22"/>
        </w:rPr>
        <w:tab/>
        <w:t>Utility Industry Authorized Returns on Equity,</w:t>
      </w:r>
      <w:bookmarkEnd w:id="19"/>
      <w:bookmarkEnd w:id="20"/>
    </w:p>
    <w:p w14:paraId="7A42F598" w14:textId="77777777" w:rsidR="00D54B54" w:rsidRPr="002C207B" w:rsidRDefault="00D54B54" w:rsidP="00D54B54">
      <w:pPr>
        <w:keepNext/>
        <w:keepLines/>
        <w:spacing w:line="480" w:lineRule="auto"/>
        <w:ind w:firstLine="720"/>
        <w:outlineLvl w:val="0"/>
        <w:rPr>
          <w:rFonts w:cs="Arial"/>
          <w:b/>
          <w:szCs w:val="22"/>
          <w:u w:val="single"/>
        </w:rPr>
      </w:pPr>
      <w:bookmarkStart w:id="22" w:name="_Toc85028720"/>
      <w:r w:rsidRPr="002C207B">
        <w:rPr>
          <w:rFonts w:cs="Arial"/>
          <w:b/>
          <w:szCs w:val="22"/>
          <w:u w:val="single"/>
        </w:rPr>
        <w:t>Access to Capital, and Credit Strength</w:t>
      </w:r>
      <w:bookmarkEnd w:id="21"/>
      <w:bookmarkEnd w:id="22"/>
      <w:r w:rsidRPr="002C207B">
        <w:rPr>
          <w:rFonts w:cs="Arial"/>
          <w:b/>
          <w:szCs w:val="22"/>
          <w:u w:val="single"/>
        </w:rPr>
        <w:t>               </w:t>
      </w:r>
    </w:p>
    <w:p w14:paraId="75D4CB6A" w14:textId="77777777" w:rsidR="00D54B54" w:rsidRPr="007114B7" w:rsidRDefault="00D54B54" w:rsidP="00D54B54">
      <w:pPr>
        <w:spacing w:line="480" w:lineRule="auto"/>
        <w:ind w:left="720" w:hanging="720"/>
        <w:jc w:val="both"/>
        <w:rPr>
          <w:rFonts w:cs="Arial"/>
          <w:b/>
          <w:caps/>
          <w:szCs w:val="22"/>
        </w:rPr>
      </w:pPr>
      <w:bookmarkStart w:id="23" w:name="_Toc63936856"/>
      <w:r w:rsidRPr="007114B7">
        <w:rPr>
          <w:rFonts w:cs="Arial"/>
          <w:b/>
          <w:caps/>
          <w:szCs w:val="22"/>
        </w:rPr>
        <w:t>Q</w:t>
      </w:r>
      <w:r w:rsidRPr="007114B7">
        <w:rPr>
          <w:rFonts w:cs="Arial"/>
          <w:b/>
          <w:caps/>
          <w:szCs w:val="22"/>
        </w:rPr>
        <w:tab/>
        <w:t>PLEASE DESCRIBE THE OBSERVABLE EVIDENCE ON TRENDS IN AUTHORIZED RETURNS ON EQUITY FOR REGULATED UTILITIES.</w:t>
      </w:r>
    </w:p>
    <w:p w14:paraId="7F8CA3CE" w14:textId="77777777" w:rsidR="00D54B54" w:rsidRPr="007114B7" w:rsidRDefault="00D54B54" w:rsidP="00D54B54">
      <w:pPr>
        <w:spacing w:line="480" w:lineRule="auto"/>
        <w:ind w:left="720" w:hanging="720"/>
        <w:jc w:val="both"/>
        <w:rPr>
          <w:color w:val="000000"/>
        </w:rPr>
      </w:pPr>
      <w:r w:rsidRPr="007114B7">
        <w:t>A</w:t>
      </w:r>
      <w:r w:rsidRPr="007114B7">
        <w:tab/>
      </w:r>
      <w:r w:rsidRPr="007114B7">
        <w:rPr>
          <w:color w:val="000000"/>
        </w:rPr>
        <w:t>As illustrated in Figure 1 below, national average authorized returns on equity for both electric and gas utilities have ranged between 9.45% to 9.75% for the last eight years (2014-2021 to date).</w:t>
      </w:r>
    </w:p>
    <w:p w14:paraId="5175113E" w14:textId="77777777" w:rsidR="00D54B54" w:rsidRDefault="00D54B54" w:rsidP="00D54B54">
      <w:pPr>
        <w:suppressLineNumbers/>
        <w:spacing w:line="480" w:lineRule="auto"/>
        <w:ind w:left="274"/>
        <w:jc w:val="center"/>
        <w:rPr>
          <w:b/>
        </w:rPr>
      </w:pPr>
      <w:r w:rsidRPr="007114B7">
        <w:rPr>
          <w:b/>
          <w:noProof/>
        </w:rPr>
        <w:lastRenderedPageBreak/>
        <w:drawing>
          <wp:inline distT="0" distB="0" distL="0" distR="0" wp14:anchorId="0A96DF99" wp14:editId="590CA362">
            <wp:extent cx="5943600" cy="385554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3855549"/>
                    </a:xfrm>
                    <a:prstGeom prst="rect">
                      <a:avLst/>
                    </a:prstGeom>
                    <a:noFill/>
                    <a:ln>
                      <a:noFill/>
                    </a:ln>
                  </pic:spPr>
                </pic:pic>
              </a:graphicData>
            </a:graphic>
          </wp:inline>
        </w:drawing>
      </w:r>
    </w:p>
    <w:p w14:paraId="132357A9" w14:textId="77777777" w:rsidR="00D54B54" w:rsidRDefault="00D54B54" w:rsidP="00D54B54">
      <w:pPr>
        <w:suppressLineNumbers/>
        <w:ind w:left="274"/>
        <w:jc w:val="center"/>
        <w:rPr>
          <w:b/>
        </w:rPr>
      </w:pPr>
    </w:p>
    <w:p w14:paraId="4DE6A398" w14:textId="77777777" w:rsidR="00D54B54" w:rsidRDefault="00D54B54" w:rsidP="00D54B54">
      <w:pPr>
        <w:suppressLineNumbers/>
        <w:ind w:left="274"/>
        <w:jc w:val="center"/>
        <w:rPr>
          <w:b/>
        </w:rPr>
      </w:pPr>
    </w:p>
    <w:p w14:paraId="241ED6B6" w14:textId="77777777" w:rsidR="00D54B54" w:rsidRPr="007114B7" w:rsidRDefault="00D54B54" w:rsidP="00D54B54">
      <w:pPr>
        <w:suppressLineNumbers/>
        <w:ind w:left="274"/>
        <w:jc w:val="center"/>
        <w:rPr>
          <w:b/>
        </w:rPr>
      </w:pPr>
    </w:p>
    <w:p w14:paraId="4E1FCB73" w14:textId="77777777" w:rsidR="00D54B54" w:rsidRPr="005866A9" w:rsidRDefault="00D54B54" w:rsidP="00D54B54">
      <w:pPr>
        <w:pStyle w:val="Heading2"/>
      </w:pPr>
      <w:bookmarkStart w:id="24" w:name="_Toc85028721"/>
      <w:proofErr w:type="spellStart"/>
      <w:r>
        <w:t>I.B</w:t>
      </w:r>
      <w:proofErr w:type="spellEnd"/>
      <w:r>
        <w:t>.  Access to Capital</w:t>
      </w:r>
      <w:bookmarkEnd w:id="24"/>
    </w:p>
    <w:p w14:paraId="34CCD19F" w14:textId="77777777" w:rsidR="00D54B54" w:rsidRPr="007114B7" w:rsidRDefault="00D54B54" w:rsidP="00D54B54">
      <w:pPr>
        <w:keepNext/>
        <w:spacing w:line="480" w:lineRule="auto"/>
        <w:ind w:left="720" w:hanging="720"/>
        <w:jc w:val="both"/>
        <w:rPr>
          <w:b/>
          <w:bCs/>
          <w:caps/>
        </w:rPr>
      </w:pPr>
      <w:r w:rsidRPr="007114B7">
        <w:rPr>
          <w:b/>
          <w:bCs/>
          <w:caps/>
        </w:rPr>
        <w:t>Q</w:t>
      </w:r>
      <w:r w:rsidRPr="007114B7">
        <w:rPr>
          <w:b/>
          <w:bCs/>
          <w:caps/>
        </w:rPr>
        <w:tab/>
        <w:t xml:space="preserve">HAVE UTILITIES BEEN ABLE TO ACCESS EXTERNAL CAPITAL TO </w:t>
      </w:r>
      <w:r w:rsidRPr="007114B7">
        <w:rPr>
          <w:rFonts w:cs="Arial"/>
          <w:b/>
          <w:caps/>
          <w:szCs w:val="22"/>
        </w:rPr>
        <w:t>SUPPORT</w:t>
      </w:r>
      <w:r w:rsidRPr="007114B7">
        <w:rPr>
          <w:b/>
          <w:bCs/>
          <w:caps/>
        </w:rPr>
        <w:t xml:space="preserve"> CAPITAL EXPENDITURE PROGRAMS?</w:t>
      </w:r>
    </w:p>
    <w:p w14:paraId="3092883F" w14:textId="77777777" w:rsidR="00D54B54" w:rsidRPr="007114B7" w:rsidRDefault="00D54B54" w:rsidP="00D54B54">
      <w:pPr>
        <w:spacing w:line="480" w:lineRule="auto"/>
        <w:ind w:left="720" w:hanging="720"/>
        <w:jc w:val="both"/>
        <w:rPr>
          <w:color w:val="000000"/>
        </w:rPr>
      </w:pPr>
      <w:r w:rsidRPr="007114B7">
        <w:t>A</w:t>
      </w:r>
      <w:r w:rsidRPr="007114B7">
        <w:tab/>
        <w:t xml:space="preserve">Yes.  </w:t>
      </w:r>
      <w:r w:rsidRPr="007114B7">
        <w:rPr>
          <w:color w:val="000000"/>
        </w:rPr>
        <w:t xml:space="preserve">In its April 8, 2021 Utility Capital Expenditures Update report, </w:t>
      </w:r>
      <w:proofErr w:type="spellStart"/>
      <w:r w:rsidRPr="007114B7">
        <w:rPr>
          <w:i/>
          <w:color w:val="000000"/>
        </w:rPr>
        <w:t>RRA</w:t>
      </w:r>
      <w:proofErr w:type="spellEnd"/>
      <w:r w:rsidRPr="007114B7">
        <w:rPr>
          <w:i/>
          <w:color w:val="000000"/>
        </w:rPr>
        <w:t xml:space="preserve"> Financial Focus</w:t>
      </w:r>
      <w:r w:rsidRPr="007114B7">
        <w:rPr>
          <w:color w:val="000000"/>
        </w:rPr>
        <w:t>, a division of S&amp;P Global Market Intelligence, made several relevant comments about utility investments generally:</w:t>
      </w:r>
    </w:p>
    <w:p w14:paraId="0081974E" w14:textId="77777777" w:rsidR="00D54B54" w:rsidRPr="007114B7" w:rsidRDefault="00D54B54" w:rsidP="00D54B54">
      <w:pPr>
        <w:numPr>
          <w:ilvl w:val="0"/>
          <w:numId w:val="20"/>
        </w:numPr>
        <w:ind w:left="1440" w:right="720"/>
        <w:jc w:val="both"/>
        <w:rPr>
          <w:color w:val="221E1F"/>
        </w:rPr>
      </w:pPr>
      <w:r w:rsidRPr="007114B7">
        <w:rPr>
          <w:color w:val="221E1F"/>
        </w:rPr>
        <w:t>Projected 2020 capital expenditures for the 47 energy utilities in the Regulatory Research Associates, a group within S&amp;P Global Market Intelligence, universe currently stands at roughly $141.3 billion, well above 2019</w:t>
      </w:r>
      <w:r>
        <w:rPr>
          <w:color w:val="221E1F"/>
        </w:rPr>
        <w:t>’</w:t>
      </w:r>
      <w:r w:rsidRPr="007114B7">
        <w:rPr>
          <w:color w:val="221E1F"/>
        </w:rPr>
        <w:t xml:space="preserve">s $120.7 billion in capital investment. </w:t>
      </w:r>
    </w:p>
    <w:p w14:paraId="06964A94" w14:textId="77777777" w:rsidR="00D54B54" w:rsidRPr="007114B7" w:rsidRDefault="00D54B54" w:rsidP="00D54B54">
      <w:pPr>
        <w:suppressLineNumbers/>
        <w:ind w:left="1440" w:right="720"/>
        <w:jc w:val="both"/>
        <w:rPr>
          <w:color w:val="221E1F"/>
        </w:rPr>
      </w:pPr>
      <w:r w:rsidRPr="007114B7">
        <w:rPr>
          <w:rFonts w:eastAsia="Calibri"/>
          <w:color w:val="000000"/>
        </w:rPr>
        <w:t xml:space="preserve"> </w:t>
      </w:r>
    </w:p>
    <w:p w14:paraId="4EB7CEEE" w14:textId="77777777" w:rsidR="00D54B54" w:rsidRPr="007114B7" w:rsidRDefault="00D54B54" w:rsidP="00D54B54">
      <w:pPr>
        <w:numPr>
          <w:ilvl w:val="0"/>
          <w:numId w:val="10"/>
        </w:numPr>
        <w:ind w:left="1440" w:right="720"/>
        <w:jc w:val="both"/>
        <w:rPr>
          <w:color w:val="221E1F"/>
        </w:rPr>
      </w:pPr>
      <w:r w:rsidRPr="007114B7">
        <w:rPr>
          <w:color w:val="221E1F"/>
        </w:rPr>
        <w:t>2020 energy utility capital expenditures marked a record high and were more than 7.75% above the $120.7 billion that the energy utility industry invested in 2019, despite that the coronavirus pandemic interrupted certain supply chains for a period of months in some instances.</w:t>
      </w:r>
    </w:p>
    <w:p w14:paraId="7C8A6A84" w14:textId="77777777" w:rsidR="00D54B54" w:rsidRPr="007114B7" w:rsidRDefault="00D54B54" w:rsidP="00D54B54">
      <w:pPr>
        <w:suppressLineNumbers/>
        <w:ind w:left="1440" w:right="720"/>
        <w:jc w:val="both"/>
        <w:rPr>
          <w:color w:val="221E1F"/>
        </w:rPr>
      </w:pPr>
    </w:p>
    <w:p w14:paraId="652533AD" w14:textId="77777777" w:rsidR="00D54B54" w:rsidRPr="00CA55E3" w:rsidRDefault="00D54B54" w:rsidP="00D54B54">
      <w:pPr>
        <w:numPr>
          <w:ilvl w:val="0"/>
          <w:numId w:val="10"/>
        </w:numPr>
        <w:ind w:left="1440" w:right="702"/>
        <w:jc w:val="both"/>
        <w:rPr>
          <w:color w:val="221E1F"/>
        </w:rPr>
      </w:pPr>
      <w:r w:rsidRPr="00CA55E3">
        <w:rPr>
          <w:color w:val="221E1F"/>
        </w:rPr>
        <w:lastRenderedPageBreak/>
        <w:t xml:space="preserve">2021 appears on track to be another record year for energy infrastructure investments.  Assuming current projections hold, investment across the </w:t>
      </w:r>
      <w:proofErr w:type="spellStart"/>
      <w:r w:rsidRPr="00CA55E3">
        <w:rPr>
          <w:color w:val="221E1F"/>
        </w:rPr>
        <w:t>RRA</w:t>
      </w:r>
      <w:proofErr w:type="spellEnd"/>
      <w:r w:rsidRPr="00CA55E3">
        <w:rPr>
          <w:color w:val="221E1F"/>
        </w:rPr>
        <w:t xml:space="preserve"> covered energy utility industry may rise by 9% or more this year.</w:t>
      </w:r>
      <w:r w:rsidRPr="007114B7">
        <w:rPr>
          <w:color w:val="221E1F"/>
          <w:vertAlign w:val="superscript"/>
        </w:rPr>
        <w:footnoteReference w:id="1"/>
      </w:r>
    </w:p>
    <w:p w14:paraId="5F3C5913" w14:textId="77777777" w:rsidR="00D54B54" w:rsidRPr="007114B7" w:rsidRDefault="00D54B54" w:rsidP="00D54B54">
      <w:pPr>
        <w:suppressLineNumbers/>
        <w:tabs>
          <w:tab w:val="left" w:pos="1440"/>
          <w:tab w:val="left" w:pos="5472"/>
        </w:tabs>
        <w:ind w:left="720" w:hanging="720"/>
        <w:jc w:val="both"/>
      </w:pPr>
      <w:r w:rsidRPr="007114B7">
        <w:tab/>
      </w:r>
      <w:r w:rsidRPr="007114B7">
        <w:tab/>
      </w:r>
    </w:p>
    <w:p w14:paraId="293216F4" w14:textId="4907BA64" w:rsidR="00D54B54" w:rsidRPr="007114B7" w:rsidRDefault="00D54B54" w:rsidP="00D54B54">
      <w:pPr>
        <w:tabs>
          <w:tab w:val="left" w:pos="1440"/>
          <w:tab w:val="left" w:pos="5472"/>
        </w:tabs>
        <w:spacing w:line="480" w:lineRule="auto"/>
        <w:ind w:left="720" w:hanging="720"/>
        <w:jc w:val="both"/>
        <w:rPr>
          <w:color w:val="000000"/>
        </w:rPr>
      </w:pPr>
      <w:r w:rsidRPr="007114B7">
        <w:tab/>
      </w:r>
      <w:r w:rsidRPr="007114B7">
        <w:tab/>
        <w:t xml:space="preserve">As shown in Figure 2 below, capital expenditures for electric and natural gas utilities have </w:t>
      </w:r>
      <w:r w:rsidRPr="007114B7">
        <w:rPr>
          <w:color w:val="000000"/>
        </w:rPr>
        <w:t>increased considerably over the period 2020 into 2021, and the forecasted capital expenditures remain elevated through 202</w:t>
      </w:r>
      <w:r w:rsidR="00657756">
        <w:rPr>
          <w:color w:val="000000"/>
        </w:rPr>
        <w:t>2</w:t>
      </w:r>
      <w:r w:rsidRPr="007114B7">
        <w:rPr>
          <w:color w:val="000000"/>
        </w:rPr>
        <w:t xml:space="preserve">, albeit falling below current levels in 2023. </w:t>
      </w:r>
    </w:p>
    <w:p w14:paraId="01A75B72" w14:textId="77777777" w:rsidR="00D54B54" w:rsidRPr="007114B7" w:rsidRDefault="00D54B54" w:rsidP="00D54B54">
      <w:pPr>
        <w:suppressLineNumbers/>
        <w:spacing w:line="480" w:lineRule="auto"/>
        <w:ind w:left="360" w:hanging="14"/>
        <w:jc w:val="center"/>
        <w:rPr>
          <w:b/>
        </w:rPr>
      </w:pPr>
      <w:r w:rsidRPr="007114B7">
        <w:rPr>
          <w:b/>
          <w:noProof/>
        </w:rPr>
        <w:drawing>
          <wp:inline distT="0" distB="0" distL="0" distR="0" wp14:anchorId="54E4C649" wp14:editId="6797B6A2">
            <wp:extent cx="5943600" cy="354472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3600" cy="3544727"/>
                    </a:xfrm>
                    <a:prstGeom prst="rect">
                      <a:avLst/>
                    </a:prstGeom>
                    <a:noFill/>
                    <a:ln>
                      <a:noFill/>
                    </a:ln>
                  </pic:spPr>
                </pic:pic>
              </a:graphicData>
            </a:graphic>
          </wp:inline>
        </w:drawing>
      </w:r>
    </w:p>
    <w:p w14:paraId="0C6BDEDD" w14:textId="5C4A3DF7" w:rsidR="00D54B54" w:rsidRPr="007114B7" w:rsidRDefault="00D54B54" w:rsidP="00D54B54">
      <w:pPr>
        <w:spacing w:line="480" w:lineRule="auto"/>
        <w:ind w:left="720" w:firstLine="720"/>
        <w:jc w:val="both"/>
        <w:rPr>
          <w:color w:val="000000"/>
        </w:rPr>
      </w:pPr>
      <w:r w:rsidRPr="007114B7">
        <w:rPr>
          <w:color w:val="000000"/>
        </w:rPr>
        <w:t xml:space="preserve">As outlined in Figure 2 above, and in the comments made by </w:t>
      </w:r>
      <w:proofErr w:type="spellStart"/>
      <w:r w:rsidRPr="007114B7">
        <w:rPr>
          <w:i/>
          <w:color w:val="000000"/>
        </w:rPr>
        <w:t>RRA</w:t>
      </w:r>
      <w:proofErr w:type="spellEnd"/>
      <w:r w:rsidRPr="007114B7">
        <w:rPr>
          <w:i/>
          <w:color w:val="000000"/>
        </w:rPr>
        <w:t xml:space="preserve"> S&amp;P Global Market Intelligence</w:t>
      </w:r>
      <w:r w:rsidRPr="007114B7">
        <w:rPr>
          <w:color w:val="000000"/>
        </w:rPr>
        <w:t xml:space="preserve">, capital investments for the utility industry continue to stay at elevated levels, and </w:t>
      </w:r>
      <w:r>
        <w:rPr>
          <w:color w:val="000000"/>
        </w:rPr>
        <w:t xml:space="preserve">these capital expenditures are expected to </w:t>
      </w:r>
      <w:r w:rsidRPr="007114B7">
        <w:rPr>
          <w:color w:val="000000"/>
        </w:rPr>
        <w:t>fuel utilities</w:t>
      </w:r>
      <w:r>
        <w:rPr>
          <w:color w:val="000000"/>
        </w:rPr>
        <w:t>’</w:t>
      </w:r>
      <w:r w:rsidRPr="007114B7">
        <w:rPr>
          <w:color w:val="000000"/>
        </w:rPr>
        <w:t xml:space="preserve"> profit </w:t>
      </w:r>
      <w:r>
        <w:rPr>
          <w:color w:val="000000"/>
        </w:rPr>
        <w:t>growth</w:t>
      </w:r>
      <w:r w:rsidRPr="007114B7">
        <w:rPr>
          <w:color w:val="000000"/>
        </w:rPr>
        <w:t xml:space="preserve"> into the foreseeable future.  This is clear evidence that the capital investments are enhancing shareholder value, and are attracting both equity and debt capital to the utility industry in a manner that allows for these </w:t>
      </w:r>
      <w:r>
        <w:rPr>
          <w:color w:val="000000"/>
        </w:rPr>
        <w:t>elevate</w:t>
      </w:r>
      <w:r w:rsidRPr="007114B7">
        <w:rPr>
          <w:color w:val="000000"/>
        </w:rPr>
        <w:t xml:space="preserve">d capital investments.  While </w:t>
      </w:r>
      <w:r w:rsidRPr="007114B7">
        <w:rPr>
          <w:color w:val="000000"/>
        </w:rPr>
        <w:lastRenderedPageBreak/>
        <w:t>capital markets embrace these profit-driven capital investments, regulatory commissions also must be carefu</w:t>
      </w:r>
      <w:r w:rsidR="00657756">
        <w:rPr>
          <w:color w:val="000000"/>
        </w:rPr>
        <w:t>l to maintain reasonable prices</w:t>
      </w:r>
      <w:r w:rsidRPr="007114B7">
        <w:rPr>
          <w:color w:val="000000"/>
        </w:rPr>
        <w:t xml:space="preserve"> and tariff terms and conditions to protect customers</w:t>
      </w:r>
      <w:r>
        <w:rPr>
          <w:color w:val="000000"/>
        </w:rPr>
        <w:t>’</w:t>
      </w:r>
      <w:r w:rsidRPr="007114B7">
        <w:rPr>
          <w:color w:val="000000"/>
        </w:rPr>
        <w:t xml:space="preserve"> need for reliable </w:t>
      </w:r>
      <w:r>
        <w:rPr>
          <w:color w:val="000000"/>
        </w:rPr>
        <w:t xml:space="preserve">utility </w:t>
      </w:r>
      <w:r w:rsidRPr="007114B7">
        <w:rPr>
          <w:color w:val="000000"/>
        </w:rPr>
        <w:t xml:space="preserve">service </w:t>
      </w:r>
      <w:r>
        <w:rPr>
          <w:color w:val="000000"/>
        </w:rPr>
        <w:t xml:space="preserve">but </w:t>
      </w:r>
      <w:r w:rsidRPr="007114B7">
        <w:rPr>
          <w:color w:val="000000"/>
        </w:rPr>
        <w:t xml:space="preserve">at competitive </w:t>
      </w:r>
      <w:r>
        <w:rPr>
          <w:color w:val="000000"/>
        </w:rPr>
        <w:t xml:space="preserve">tariff </w:t>
      </w:r>
      <w:r w:rsidRPr="007114B7">
        <w:rPr>
          <w:color w:val="000000"/>
        </w:rPr>
        <w:t>prices.</w:t>
      </w:r>
    </w:p>
    <w:p w14:paraId="21516B7A" w14:textId="77777777" w:rsidR="00D54B54" w:rsidRPr="007114B7" w:rsidRDefault="00D54B54" w:rsidP="00D54B54">
      <w:pPr>
        <w:suppressLineNumbers/>
        <w:spacing w:line="480" w:lineRule="auto"/>
        <w:ind w:left="720" w:hanging="720"/>
        <w:jc w:val="both"/>
      </w:pPr>
    </w:p>
    <w:p w14:paraId="4B94E639" w14:textId="77777777" w:rsidR="00D54B54" w:rsidRPr="005866A9" w:rsidRDefault="00D54B54" w:rsidP="00D54B54">
      <w:pPr>
        <w:pStyle w:val="Heading2"/>
      </w:pPr>
      <w:bookmarkStart w:id="25" w:name="_Toc85028722"/>
      <w:proofErr w:type="spellStart"/>
      <w:r>
        <w:t>I.C</w:t>
      </w:r>
      <w:proofErr w:type="spellEnd"/>
      <w:r w:rsidRPr="005866A9">
        <w:t>.  Utility Access to Equity Capital</w:t>
      </w:r>
      <w:bookmarkEnd w:id="25"/>
    </w:p>
    <w:p w14:paraId="2A50F210" w14:textId="77777777" w:rsidR="00D54B54" w:rsidRPr="007114B7" w:rsidRDefault="00D54B54" w:rsidP="00D54B54">
      <w:pPr>
        <w:keepNext/>
        <w:keepLines/>
        <w:spacing w:line="480" w:lineRule="auto"/>
        <w:ind w:left="720" w:hanging="720"/>
        <w:jc w:val="both"/>
        <w:rPr>
          <w:b/>
          <w:bCs/>
        </w:rPr>
      </w:pPr>
      <w:r w:rsidRPr="007114B7">
        <w:rPr>
          <w:b/>
          <w:bCs/>
        </w:rPr>
        <w:t>Q</w:t>
      </w:r>
      <w:r w:rsidRPr="007114B7">
        <w:rPr>
          <w:b/>
          <w:bCs/>
        </w:rPr>
        <w:tab/>
        <w:t xml:space="preserve">IS </w:t>
      </w:r>
      <w:r w:rsidRPr="007114B7">
        <w:rPr>
          <w:b/>
          <w:bCs/>
          <w:caps/>
        </w:rPr>
        <w:t>THERE</w:t>
      </w:r>
      <w:r w:rsidRPr="007114B7">
        <w:rPr>
          <w:b/>
          <w:bCs/>
        </w:rPr>
        <w:t xml:space="preserve"> EVIDENCE OF ROBUST VALUATIONS OF REGULATED UTILITY EQUITY SECURITIES?</w:t>
      </w:r>
    </w:p>
    <w:p w14:paraId="7E630768" w14:textId="72972F14" w:rsidR="00D54B54" w:rsidRDefault="00D54B54" w:rsidP="00D54B54">
      <w:pPr>
        <w:spacing w:line="480" w:lineRule="auto"/>
        <w:ind w:left="720" w:hanging="720"/>
        <w:jc w:val="both"/>
        <w:rPr>
          <w:color w:val="000000"/>
        </w:rPr>
      </w:pPr>
      <w:r w:rsidRPr="007114B7">
        <w:t>A</w:t>
      </w:r>
      <w:r w:rsidRPr="007114B7">
        <w:tab/>
      </w:r>
      <w:r w:rsidRPr="007114B7">
        <w:rPr>
          <w:color w:val="000000"/>
        </w:rPr>
        <w:t xml:space="preserve">Yes.  Robust valuations are an indication that utilities can sell securities at high prices, which is a strong indication that they can access equity capital under reasonable terms and conditions, and at relatively low cost.  As shown on </w:t>
      </w:r>
      <w:r>
        <w:rPr>
          <w:color w:val="000000"/>
        </w:rPr>
        <w:t xml:space="preserve">my </w:t>
      </w:r>
      <w:r w:rsidRPr="00E92E03">
        <w:t>Exhibit MPG-2</w:t>
      </w:r>
      <w:r w:rsidRPr="007114B7">
        <w:t>,</w:t>
      </w:r>
      <w:r w:rsidRPr="007114B7">
        <w:rPr>
          <w:color w:val="000000"/>
        </w:rPr>
        <w:t xml:space="preserve"> </w:t>
      </w:r>
      <w:r>
        <w:rPr>
          <w:color w:val="000000"/>
        </w:rPr>
        <w:t>utility valuation metrics show robust valuation of utility electric securities more recently compared to the historical period extending back to 200</w:t>
      </w:r>
      <w:r w:rsidR="00300DDD">
        <w:rPr>
          <w:color w:val="000000"/>
        </w:rPr>
        <w:t>2</w:t>
      </w:r>
      <w:r>
        <w:rPr>
          <w:color w:val="000000"/>
        </w:rPr>
        <w:t xml:space="preserve">.  Specifically, page </w:t>
      </w:r>
      <w:r w:rsidR="00FA0796">
        <w:rPr>
          <w:color w:val="000000"/>
        </w:rPr>
        <w:t>1</w:t>
      </w:r>
      <w:r>
        <w:rPr>
          <w:color w:val="000000"/>
        </w:rPr>
        <w:t xml:space="preserve"> of this exhibit shows </w:t>
      </w:r>
      <w:r w:rsidRPr="007114B7">
        <w:rPr>
          <w:i/>
          <w:color w:val="000000"/>
        </w:rPr>
        <w:t xml:space="preserve">The Value Line Investment Survey </w:t>
      </w:r>
      <w:r w:rsidRPr="007114B7">
        <w:rPr>
          <w:color w:val="000000"/>
        </w:rPr>
        <w:t>(</w:t>
      </w:r>
      <w:r>
        <w:rPr>
          <w:color w:val="000000"/>
        </w:rPr>
        <w:t>“</w:t>
      </w:r>
      <w:r w:rsidRPr="007114B7">
        <w:rPr>
          <w:i/>
          <w:color w:val="000000"/>
        </w:rPr>
        <w:t>Value Line</w:t>
      </w:r>
      <w:r>
        <w:rPr>
          <w:color w:val="000000"/>
        </w:rPr>
        <w:t>”</w:t>
      </w:r>
      <w:r w:rsidRPr="007114B7">
        <w:rPr>
          <w:color w:val="000000"/>
        </w:rPr>
        <w:t>)</w:t>
      </w:r>
      <w:r>
        <w:rPr>
          <w:color w:val="000000"/>
        </w:rPr>
        <w:t xml:space="preserve"> electric util</w:t>
      </w:r>
      <w:r w:rsidR="00FA0796">
        <w:rPr>
          <w:color w:val="000000"/>
        </w:rPr>
        <w:t>ity industry price-to-earnings ratio of 20.19x, compared</w:t>
      </w:r>
      <w:r>
        <w:rPr>
          <w:color w:val="000000"/>
        </w:rPr>
        <w:t xml:space="preserve"> to a </w:t>
      </w:r>
      <w:r w:rsidR="00657756">
        <w:rPr>
          <w:color w:val="000000"/>
        </w:rPr>
        <w:t>20</w:t>
      </w:r>
      <w:r>
        <w:rPr>
          <w:color w:val="000000"/>
        </w:rPr>
        <w:t xml:space="preserve">-year average </w:t>
      </w:r>
      <w:r w:rsidR="00FA0796">
        <w:rPr>
          <w:color w:val="000000"/>
        </w:rPr>
        <w:t>price-to-earnings</w:t>
      </w:r>
      <w:r>
        <w:rPr>
          <w:color w:val="000000"/>
        </w:rPr>
        <w:t xml:space="preserve"> ratio of around </w:t>
      </w:r>
      <w:r w:rsidR="00FA0796">
        <w:rPr>
          <w:color w:val="000000"/>
        </w:rPr>
        <w:t>17.15x</w:t>
      </w:r>
      <w:r w:rsidRPr="00AF1538">
        <w:rPr>
          <w:color w:val="000000"/>
        </w:rPr>
        <w:t xml:space="preserve">.  </w:t>
      </w:r>
      <w:r>
        <w:rPr>
          <w:color w:val="000000"/>
        </w:rPr>
        <w:t xml:space="preserve">The market price-to-cash flow currently is 9.79x, compared to the </w:t>
      </w:r>
      <w:r w:rsidR="00657756">
        <w:rPr>
          <w:color w:val="000000"/>
        </w:rPr>
        <w:t>20-</w:t>
      </w:r>
      <w:r w:rsidR="00FA0796">
        <w:rPr>
          <w:color w:val="000000"/>
        </w:rPr>
        <w:t>year</w:t>
      </w:r>
      <w:r>
        <w:rPr>
          <w:color w:val="000000"/>
        </w:rPr>
        <w:t xml:space="preserve"> average of 7.56x</w:t>
      </w:r>
      <w:r w:rsidR="00FA0796">
        <w:rPr>
          <w:color w:val="000000"/>
        </w:rPr>
        <w:t xml:space="preserve"> (page 2)</w:t>
      </w:r>
      <w:r>
        <w:rPr>
          <w:color w:val="000000"/>
        </w:rPr>
        <w:t xml:space="preserve">.  </w:t>
      </w:r>
      <w:r w:rsidR="00FA0796">
        <w:rPr>
          <w:color w:val="000000"/>
        </w:rPr>
        <w:t xml:space="preserve">Finally, the current market-to-book ratio for the utility industry is 2.12x, compared to the 17-year average of 1.74x (page 3).  </w:t>
      </w:r>
      <w:r>
        <w:rPr>
          <w:color w:val="000000"/>
        </w:rPr>
        <w:t>Utility valuation metrics exhibit strong valuations in the marketplace for utility securities, which is a clear indication that utilities have access to external capital markets under favorable prices.</w:t>
      </w:r>
    </w:p>
    <w:p w14:paraId="38201871" w14:textId="77777777" w:rsidR="00D54B54" w:rsidRPr="007114B7" w:rsidRDefault="00D54B54" w:rsidP="00D54B54">
      <w:pPr>
        <w:suppressLineNumbers/>
        <w:spacing w:line="480" w:lineRule="auto"/>
        <w:ind w:left="720" w:hanging="720"/>
        <w:jc w:val="both"/>
        <w:rPr>
          <w:color w:val="000000"/>
        </w:rPr>
      </w:pPr>
    </w:p>
    <w:p w14:paraId="42568409" w14:textId="77777777" w:rsidR="00D54B54" w:rsidRPr="007114B7" w:rsidRDefault="00D54B54" w:rsidP="00D54B54">
      <w:pPr>
        <w:keepNext/>
        <w:keepLines/>
        <w:spacing w:line="480" w:lineRule="auto"/>
        <w:ind w:left="720" w:hanging="720"/>
        <w:jc w:val="both"/>
        <w:rPr>
          <w:b/>
          <w:bCs/>
        </w:rPr>
      </w:pPr>
      <w:r w:rsidRPr="007114B7">
        <w:rPr>
          <w:b/>
          <w:bCs/>
        </w:rPr>
        <w:t>Q</w:t>
      </w:r>
      <w:r w:rsidRPr="007114B7">
        <w:rPr>
          <w:b/>
          <w:bCs/>
        </w:rPr>
        <w:tab/>
        <w:t xml:space="preserve">PLEASE DESCRIBE </w:t>
      </w:r>
      <w:r w:rsidRPr="007114B7">
        <w:rPr>
          <w:b/>
          <w:bCs/>
          <w:caps/>
        </w:rPr>
        <w:t>UTILITY</w:t>
      </w:r>
      <w:r w:rsidRPr="007114B7">
        <w:rPr>
          <w:b/>
          <w:bCs/>
        </w:rPr>
        <w:t xml:space="preserve"> STOCK PRICE PERFORMANCE OVER THE LAST SEVERAL YEARS.</w:t>
      </w:r>
    </w:p>
    <w:p w14:paraId="0C143712" w14:textId="77777777" w:rsidR="00D54B54" w:rsidRPr="007114B7" w:rsidRDefault="00D54B54" w:rsidP="00D54B54">
      <w:pPr>
        <w:spacing w:line="480" w:lineRule="auto"/>
        <w:ind w:left="720" w:hanging="720"/>
        <w:jc w:val="both"/>
      </w:pPr>
      <w:r w:rsidRPr="007114B7">
        <w:t>A</w:t>
      </w:r>
      <w:r w:rsidRPr="007114B7">
        <w:tab/>
        <w:t>As shown in Figure 3 below, S&amp;P Global Market Intelligence (</w:t>
      </w:r>
      <w:r>
        <w:t>“</w:t>
      </w:r>
      <w:r w:rsidRPr="007114B7">
        <w:t>MI</w:t>
      </w:r>
      <w:r>
        <w:t>”</w:t>
      </w:r>
      <w:r w:rsidRPr="007114B7">
        <w:t>) has recorded utility stock price performance compared to the market.  The industry</w:t>
      </w:r>
      <w:r>
        <w:t>’</w:t>
      </w:r>
      <w:r w:rsidRPr="007114B7">
        <w:t xml:space="preserve">s stock performance </w:t>
      </w:r>
      <w:r w:rsidRPr="007114B7">
        <w:lastRenderedPageBreak/>
        <w:t>data from 2005 through 2021 shows that the MI Electric Company and MI Gas Utility Indexes have followed the market through downturns and recoveries.  However, utility investments have been less volatile during extreme market downturns.  This more stable price performance for utilities supports my conclusion that market participants regard utility stock sectors as a moderate- to low</w:t>
      </w:r>
      <w:r w:rsidRPr="007114B7">
        <w:noBreakHyphen/>
        <w:t>risk investment option.</w:t>
      </w:r>
    </w:p>
    <w:p w14:paraId="7E91734B" w14:textId="77777777" w:rsidR="00D54B54" w:rsidRPr="007114B7" w:rsidRDefault="00D54B54" w:rsidP="00D54B54">
      <w:pPr>
        <w:suppressLineNumbers/>
        <w:spacing w:line="480" w:lineRule="auto"/>
        <w:ind w:left="720" w:hanging="446"/>
        <w:jc w:val="both"/>
      </w:pPr>
      <w:r w:rsidRPr="007114B7">
        <w:rPr>
          <w:noProof/>
        </w:rPr>
        <w:drawing>
          <wp:inline distT="0" distB="0" distL="0" distR="0" wp14:anchorId="42465612" wp14:editId="1F60B5A0">
            <wp:extent cx="5943600" cy="291764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43600" cy="2917644"/>
                    </a:xfrm>
                    <a:prstGeom prst="rect">
                      <a:avLst/>
                    </a:prstGeom>
                    <a:noFill/>
                    <a:ln>
                      <a:noFill/>
                    </a:ln>
                  </pic:spPr>
                </pic:pic>
              </a:graphicData>
            </a:graphic>
          </wp:inline>
        </w:drawing>
      </w:r>
    </w:p>
    <w:p w14:paraId="2D010892" w14:textId="77777777" w:rsidR="00D54B54" w:rsidRPr="007114B7" w:rsidRDefault="00D54B54" w:rsidP="00D54B54">
      <w:pPr>
        <w:spacing w:line="480" w:lineRule="auto"/>
        <w:ind w:left="720" w:firstLine="720"/>
        <w:jc w:val="both"/>
      </w:pPr>
      <w:r w:rsidRPr="007114B7">
        <w:t>While utility stocks have not exhibited the same volatility as the S&amp;P 500, stock prices have remained strong, relative to the market in general, and support the utilities</w:t>
      </w:r>
      <w:r>
        <w:t>’</w:t>
      </w:r>
      <w:r w:rsidRPr="007114B7">
        <w:t xml:space="preserve"> access to equity capital markets under reasonable terms and prices.</w:t>
      </w:r>
    </w:p>
    <w:p w14:paraId="1BB29A7D" w14:textId="77777777" w:rsidR="00D54B54" w:rsidRPr="007114B7" w:rsidRDefault="00D54B54" w:rsidP="00D54B54">
      <w:pPr>
        <w:suppressLineNumbers/>
        <w:spacing w:line="480" w:lineRule="auto"/>
        <w:ind w:left="720" w:hanging="720"/>
        <w:jc w:val="both"/>
        <w:rPr>
          <w:color w:val="000000"/>
        </w:rPr>
      </w:pPr>
    </w:p>
    <w:p w14:paraId="2DDD71E5" w14:textId="77777777" w:rsidR="00D54B54" w:rsidRPr="007114B7" w:rsidRDefault="00D54B54" w:rsidP="00D54B54">
      <w:pPr>
        <w:keepNext/>
        <w:keepLines/>
        <w:spacing w:line="480" w:lineRule="auto"/>
        <w:ind w:left="720" w:hanging="720"/>
        <w:jc w:val="both"/>
        <w:rPr>
          <w:b/>
          <w:bCs/>
          <w:caps/>
        </w:rPr>
      </w:pPr>
      <w:r w:rsidRPr="007114B7">
        <w:rPr>
          <w:b/>
          <w:bCs/>
          <w:caps/>
        </w:rPr>
        <w:t>Q</w:t>
      </w:r>
      <w:r w:rsidRPr="007114B7">
        <w:rPr>
          <w:b/>
          <w:bCs/>
          <w:caps/>
        </w:rPr>
        <w:tab/>
        <w:t xml:space="preserve">HOW SHOULD THE COMMISSION USE THIS MARKET INFORMATION IN ASSESSING A FAIR RETURN FOR </w:t>
      </w:r>
      <w:proofErr w:type="spellStart"/>
      <w:r>
        <w:rPr>
          <w:rFonts w:eastAsia="Calibri"/>
          <w:b/>
          <w:bCs/>
          <w:caps/>
        </w:rPr>
        <w:t>EPE</w:t>
      </w:r>
      <w:proofErr w:type="spellEnd"/>
      <w:r w:rsidRPr="007114B7">
        <w:rPr>
          <w:b/>
          <w:bCs/>
          <w:caps/>
        </w:rPr>
        <w:t>?</w:t>
      </w:r>
    </w:p>
    <w:p w14:paraId="236738C8" w14:textId="77777777" w:rsidR="00D54B54" w:rsidRDefault="00D54B54" w:rsidP="00D54B54">
      <w:pPr>
        <w:spacing w:line="480" w:lineRule="auto"/>
        <w:ind w:left="720" w:hanging="720"/>
        <w:jc w:val="both"/>
      </w:pPr>
      <w:r w:rsidRPr="007114B7">
        <w:t>A</w:t>
      </w:r>
      <w:r w:rsidRPr="007114B7">
        <w:tab/>
        <w:t>Observable market evidence demonstrates that capital market costs are near historically low levels.  While authorized returns on equity have fallen below the mid-9% range, utilities continue to have access to large amounts of external capital, even as they are funding large capital expenditure programs.  Furthermore, utilities</w:t>
      </w:r>
      <w:r>
        <w:t>’</w:t>
      </w:r>
      <w:r w:rsidRPr="007114B7">
        <w:t xml:space="preserve"> investment-grade credit ratings are stable and have improved, due in part to supportive </w:t>
      </w:r>
      <w:r w:rsidRPr="007114B7">
        <w:lastRenderedPageBreak/>
        <w:t xml:space="preserve">regulatory treatment.  The Commission should carefully weigh all this important observable market evidence in assessing a fair return on equity for </w:t>
      </w:r>
      <w:proofErr w:type="spellStart"/>
      <w:r>
        <w:rPr>
          <w:rFonts w:eastAsia="Calibri"/>
        </w:rPr>
        <w:t>EPE</w:t>
      </w:r>
      <w:proofErr w:type="spellEnd"/>
      <w:r w:rsidRPr="007114B7">
        <w:t>.</w:t>
      </w:r>
    </w:p>
    <w:p w14:paraId="49FA1B49" w14:textId="77777777" w:rsidR="00D54B54" w:rsidRPr="007114B7" w:rsidRDefault="00D54B54" w:rsidP="00D54B54">
      <w:pPr>
        <w:suppressLineNumbers/>
        <w:spacing w:line="480" w:lineRule="auto"/>
        <w:ind w:left="720" w:hanging="720"/>
        <w:jc w:val="both"/>
      </w:pPr>
    </w:p>
    <w:p w14:paraId="1AF59610" w14:textId="77777777" w:rsidR="00D54B54" w:rsidRPr="005866A9" w:rsidRDefault="00D54B54" w:rsidP="00D54B54">
      <w:pPr>
        <w:keepNext/>
        <w:keepLines/>
        <w:spacing w:after="240"/>
        <w:outlineLvl w:val="1"/>
        <w:rPr>
          <w:rFonts w:eastAsiaTheme="majorEastAsia" w:cstheme="majorBidi"/>
          <w:b/>
          <w:sz w:val="24"/>
          <w:szCs w:val="24"/>
          <w:u w:val="single"/>
        </w:rPr>
      </w:pPr>
      <w:bookmarkStart w:id="26" w:name="_Toc63936853"/>
      <w:bookmarkStart w:id="27" w:name="_Toc67399018"/>
      <w:bookmarkStart w:id="28" w:name="_Toc74922978"/>
      <w:bookmarkStart w:id="29" w:name="_Toc82676382"/>
      <w:bookmarkStart w:id="30" w:name="_Toc83990830"/>
      <w:bookmarkStart w:id="31" w:name="_Toc84318874"/>
      <w:bookmarkStart w:id="32" w:name="_Toc85028723"/>
      <w:r w:rsidRPr="005866A9">
        <w:rPr>
          <w:rFonts w:eastAsiaTheme="majorEastAsia" w:cstheme="majorBidi"/>
          <w:b/>
          <w:sz w:val="24"/>
          <w:szCs w:val="24"/>
          <w:u w:val="single"/>
        </w:rPr>
        <w:t>I</w:t>
      </w:r>
      <w:r>
        <w:rPr>
          <w:rFonts w:eastAsiaTheme="majorEastAsia" w:cstheme="majorBidi"/>
          <w:b/>
          <w:sz w:val="24"/>
          <w:szCs w:val="24"/>
          <w:u w:val="single"/>
        </w:rPr>
        <w:t>.D</w:t>
      </w:r>
      <w:r w:rsidRPr="005866A9">
        <w:rPr>
          <w:rFonts w:eastAsiaTheme="majorEastAsia" w:cstheme="majorBidi"/>
          <w:b/>
          <w:sz w:val="24"/>
          <w:szCs w:val="24"/>
          <w:u w:val="single"/>
        </w:rPr>
        <w:t>.  Federal Reserve</w:t>
      </w:r>
      <w:r>
        <w:rPr>
          <w:rFonts w:eastAsiaTheme="majorEastAsia" w:cstheme="majorBidi"/>
          <w:b/>
          <w:sz w:val="24"/>
          <w:szCs w:val="24"/>
          <w:u w:val="single"/>
        </w:rPr>
        <w:t>’</w:t>
      </w:r>
      <w:r w:rsidRPr="005866A9">
        <w:rPr>
          <w:rFonts w:eastAsiaTheme="majorEastAsia" w:cstheme="majorBidi"/>
          <w:b/>
          <w:sz w:val="24"/>
          <w:szCs w:val="24"/>
          <w:u w:val="single"/>
        </w:rPr>
        <w:t>s Impact on Cost of Capital</w:t>
      </w:r>
      <w:bookmarkEnd w:id="26"/>
      <w:bookmarkEnd w:id="27"/>
      <w:bookmarkEnd w:id="28"/>
      <w:bookmarkEnd w:id="29"/>
      <w:bookmarkEnd w:id="30"/>
      <w:bookmarkEnd w:id="31"/>
      <w:bookmarkEnd w:id="32"/>
    </w:p>
    <w:p w14:paraId="5A8AB5C8" w14:textId="77777777" w:rsidR="00D54B54" w:rsidRPr="007114B7" w:rsidRDefault="00D54B54" w:rsidP="00D54B54">
      <w:pPr>
        <w:keepNext/>
        <w:keepLines/>
        <w:spacing w:line="480" w:lineRule="auto"/>
        <w:ind w:left="720" w:hanging="720"/>
        <w:jc w:val="both"/>
      </w:pPr>
      <w:r w:rsidRPr="007114B7">
        <w:rPr>
          <w:b/>
        </w:rPr>
        <w:t>Q</w:t>
      </w:r>
      <w:r w:rsidRPr="007114B7">
        <w:rPr>
          <w:b/>
        </w:rPr>
        <w:tab/>
        <w:t>ARE THE FEDERAL RESERVE</w:t>
      </w:r>
      <w:r>
        <w:rPr>
          <w:b/>
        </w:rPr>
        <w:t>’</w:t>
      </w:r>
      <w:r w:rsidRPr="007114B7">
        <w:rPr>
          <w:b/>
        </w:rPr>
        <w:t>S MONETARY OPEN MARKET COMMITTEE ACTIONS KNOWN TO THE MARKET PARTICIPANTS, AND IS IT REASONABLE TO BELIEVE THEY ARE REFLECTED IN THE MARKET</w:t>
      </w:r>
      <w:r>
        <w:rPr>
          <w:b/>
        </w:rPr>
        <w:t>’</w:t>
      </w:r>
      <w:r w:rsidRPr="007114B7">
        <w:rPr>
          <w:b/>
        </w:rPr>
        <w:t>S VALUATION OF BOTH DEBT AND EQUITY SECURITIES?</w:t>
      </w:r>
    </w:p>
    <w:p w14:paraId="166CAEEC" w14:textId="5F7325CF" w:rsidR="00D54B54" w:rsidRPr="007114B7" w:rsidRDefault="00D54B54" w:rsidP="00D54B54">
      <w:pPr>
        <w:tabs>
          <w:tab w:val="left" w:pos="1440"/>
          <w:tab w:val="left" w:pos="5472"/>
        </w:tabs>
        <w:spacing w:line="480" w:lineRule="auto"/>
        <w:ind w:left="720" w:hanging="720"/>
        <w:jc w:val="both"/>
      </w:pPr>
      <w:r w:rsidRPr="007114B7">
        <w:t>A</w:t>
      </w:r>
      <w:r w:rsidRPr="007114B7">
        <w:tab/>
        <w:t>Yes.  The Federal Reserve has been quite public about its efforts to support the economy to achieve maximum employment, and to manage long-term inflation to around a 2% level.  The Federal Reserve has implemented procedures to support the economy</w:t>
      </w:r>
      <w:r>
        <w:t>’</w:t>
      </w:r>
      <w:r w:rsidRPr="007114B7">
        <w:t xml:space="preserve">s efforts to achieve these policy objectives.  Specifically, </w:t>
      </w:r>
      <w:r>
        <w:t>in</w:t>
      </w:r>
      <w:r w:rsidR="00FA0796">
        <w:t xml:space="preserve"> March</w:t>
      </w:r>
      <w:r>
        <w:t xml:space="preserve"> 2020 the Federal Reserve</w:t>
      </w:r>
      <w:r w:rsidRPr="007114B7">
        <w:t xml:space="preserve"> lowered the Federal Overnight Rate for securities, and has engaged once again in a Quantitative Easing program where the Federal Reserve is buying on a monthly basis Treasury and mortgage-backed securities in order to moderate the demand in the marketplaces and support the economy.  All of these actions are known by market participants because the Federal Reserve is transparent in its monetary policies.</w:t>
      </w:r>
    </w:p>
    <w:p w14:paraId="627F5179" w14:textId="77777777" w:rsidR="00D54B54" w:rsidRPr="007114B7" w:rsidRDefault="00D54B54" w:rsidP="00D54B54">
      <w:pPr>
        <w:tabs>
          <w:tab w:val="left" w:pos="1440"/>
          <w:tab w:val="left" w:pos="5472"/>
        </w:tabs>
        <w:spacing w:line="480" w:lineRule="auto"/>
        <w:ind w:left="720" w:hanging="720"/>
        <w:jc w:val="both"/>
      </w:pPr>
      <w:r w:rsidRPr="007114B7">
        <w:tab/>
      </w:r>
      <w:r w:rsidRPr="007114B7">
        <w:tab/>
        <w:t>An assessment of the market</w:t>
      </w:r>
      <w:r>
        <w:t>’</w:t>
      </w:r>
      <w:r w:rsidRPr="007114B7">
        <w:t>s reaction to the Federal Reserve</w:t>
      </w:r>
      <w:r>
        <w:t>’</w:t>
      </w:r>
      <w:r w:rsidRPr="007114B7">
        <w:t xml:space="preserve">s actions on the Federal Funds Rate is shown below in Figure 4.  </w:t>
      </w:r>
    </w:p>
    <w:p w14:paraId="49658292" w14:textId="77777777" w:rsidR="00D54B54" w:rsidRPr="007114B7" w:rsidRDefault="00D54B54" w:rsidP="00D54B54">
      <w:pPr>
        <w:suppressLineNumbers/>
        <w:spacing w:line="480" w:lineRule="auto"/>
        <w:ind w:left="90"/>
        <w:jc w:val="center"/>
      </w:pPr>
      <w:r w:rsidRPr="007114B7">
        <w:rPr>
          <w:noProof/>
        </w:rPr>
        <w:lastRenderedPageBreak/>
        <w:drawing>
          <wp:inline distT="0" distB="0" distL="0" distR="0" wp14:anchorId="5C2480BB" wp14:editId="7F6B7C51">
            <wp:extent cx="5943600" cy="457774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3600" cy="4577746"/>
                    </a:xfrm>
                    <a:prstGeom prst="rect">
                      <a:avLst/>
                    </a:prstGeom>
                    <a:noFill/>
                    <a:ln>
                      <a:noFill/>
                    </a:ln>
                  </pic:spPr>
                </pic:pic>
              </a:graphicData>
            </a:graphic>
          </wp:inline>
        </w:drawing>
      </w:r>
    </w:p>
    <w:p w14:paraId="564EFF4B" w14:textId="77777777" w:rsidR="00D54B54" w:rsidRPr="007114B7" w:rsidRDefault="00D54B54" w:rsidP="00D54B54">
      <w:pPr>
        <w:tabs>
          <w:tab w:val="left" w:pos="1440"/>
          <w:tab w:val="left" w:pos="5472"/>
        </w:tabs>
        <w:spacing w:line="480" w:lineRule="auto"/>
        <w:ind w:left="720" w:hanging="720"/>
        <w:jc w:val="both"/>
      </w:pPr>
      <w:r w:rsidRPr="007114B7">
        <w:tab/>
      </w:r>
      <w:r w:rsidRPr="007114B7">
        <w:tab/>
        <w:t>As shown in Figure 4 above, while the Federal Reserve has reduced short-term interest rates currently, as it did back in the period prior to 2015, the market</w:t>
      </w:r>
      <w:r>
        <w:t>’</w:t>
      </w:r>
      <w:r w:rsidRPr="007114B7">
        <w:t>s valuation of long-term securities remains relatively stable, and at very low costs.  The Federal Reserve</w:t>
      </w:r>
      <w:r>
        <w:t>’</w:t>
      </w:r>
      <w:r w:rsidRPr="007114B7">
        <w:t>s interaction in short-term securities is specifically stated to manage inflation and support employment in the economy.  The Federal Reserve</w:t>
      </w:r>
      <w:r>
        <w:t>’</w:t>
      </w:r>
      <w:r w:rsidRPr="007114B7">
        <w:t>s interaction in these marketplaces is not to manipulate utility valuation or security valuations, or drive capital market costs in one direction or the other.  Rather, it is strictly for the purpose of supporting the U.S. economy.</w:t>
      </w:r>
    </w:p>
    <w:p w14:paraId="2FA4BB6F" w14:textId="77777777" w:rsidR="00D54B54" w:rsidRPr="007114B7" w:rsidRDefault="00D54B54" w:rsidP="00D54B54">
      <w:pPr>
        <w:keepNext/>
        <w:keepLines/>
        <w:spacing w:line="480" w:lineRule="auto"/>
        <w:ind w:left="720" w:hanging="720"/>
        <w:jc w:val="both"/>
        <w:rPr>
          <w:b/>
          <w:caps/>
        </w:rPr>
      </w:pPr>
      <w:r w:rsidRPr="007114B7">
        <w:rPr>
          <w:b/>
          <w:caps/>
        </w:rPr>
        <w:lastRenderedPageBreak/>
        <w:t>Q</w:t>
      </w:r>
      <w:r w:rsidRPr="007114B7">
        <w:rPr>
          <w:b/>
          <w:caps/>
        </w:rPr>
        <w:tab/>
        <w:t>HAS THE FEDERAL RESERVE MADE RECENT COMMENTS CONCERNING MONETARY POLICY AND THE POTENTIAL IMPACT ON INTEREST RATES?</w:t>
      </w:r>
    </w:p>
    <w:p w14:paraId="5DB76D56" w14:textId="5BE8B717" w:rsidR="00D54B54" w:rsidRPr="007114B7" w:rsidRDefault="00D54B54" w:rsidP="00D54B54">
      <w:pPr>
        <w:spacing w:line="480" w:lineRule="auto"/>
        <w:ind w:left="720" w:hanging="720"/>
        <w:jc w:val="both"/>
        <w:rPr>
          <w:color w:val="221E1F"/>
        </w:rPr>
      </w:pPr>
      <w:r w:rsidRPr="007114B7">
        <w:t>A</w:t>
      </w:r>
      <w:r w:rsidRPr="007114B7">
        <w:tab/>
        <w:t>Yes.  Again, the Fed</w:t>
      </w:r>
      <w:r>
        <w:t xml:space="preserve">eral Reserve </w:t>
      </w:r>
      <w:r w:rsidRPr="007114B7">
        <w:t xml:space="preserve">states the Federal Open Market </w:t>
      </w:r>
      <w:r w:rsidR="00657756">
        <w:t>Committee</w:t>
      </w:r>
      <w:r w:rsidRPr="007114B7">
        <w:t xml:space="preserve"> </w:t>
      </w:r>
      <w:r>
        <w:t>“</w:t>
      </w:r>
      <w:r w:rsidRPr="007114B7">
        <w:t>seeks to achieve maximum employment and inflation at the rate of 2 percent over the longer run.</w:t>
      </w:r>
      <w:r>
        <w:t>”</w:t>
      </w:r>
      <w:r w:rsidRPr="007114B7">
        <w:rPr>
          <w:color w:val="221E1F"/>
          <w:vertAlign w:val="superscript"/>
        </w:rPr>
        <w:footnoteReference w:id="2"/>
      </w:r>
      <w:r w:rsidRPr="007114B7">
        <w:rPr>
          <w:color w:val="221E1F"/>
        </w:rPr>
        <w:t xml:space="preserve">  The Fed</w:t>
      </w:r>
      <w:r>
        <w:rPr>
          <w:color w:val="221E1F"/>
        </w:rPr>
        <w:t>eral Reserve</w:t>
      </w:r>
      <w:r w:rsidRPr="007114B7">
        <w:rPr>
          <w:color w:val="221E1F"/>
        </w:rPr>
        <w:t xml:space="preserve"> has recently stated that containing the target Federal Funds Rate at the 0 to</w:t>
      </w:r>
      <w:r w:rsidR="00657756">
        <w:rPr>
          <w:color w:val="221E1F"/>
        </w:rPr>
        <w:t xml:space="preserve"> </w:t>
      </w:r>
      <w:r w:rsidRPr="007114B7">
        <w:rPr>
          <w:color w:val="221E1F"/>
        </w:rPr>
        <w:t>1/4% rate will be maintained until labor market conditions have reached levels consistent with the Committee</w:t>
      </w:r>
      <w:r>
        <w:rPr>
          <w:color w:val="221E1F"/>
        </w:rPr>
        <w:t>’</w:t>
      </w:r>
      <w:r w:rsidRPr="007114B7">
        <w:rPr>
          <w:color w:val="221E1F"/>
        </w:rPr>
        <w:t>s assessments of maximum employment, and inflation has risen to 2% and is on track to moderately exceed the 2% longer outlook over time.</w:t>
      </w:r>
      <w:r w:rsidRPr="007114B7">
        <w:rPr>
          <w:color w:val="221E1F"/>
          <w:vertAlign w:val="superscript"/>
        </w:rPr>
        <w:footnoteReference w:id="3"/>
      </w:r>
      <w:r w:rsidRPr="007114B7">
        <w:rPr>
          <w:color w:val="221E1F"/>
        </w:rPr>
        <w:t xml:space="preserve">  </w:t>
      </w:r>
    </w:p>
    <w:p w14:paraId="60EA582D" w14:textId="5129E9E1" w:rsidR="00D54B54" w:rsidRPr="007114B7" w:rsidRDefault="00D54B54" w:rsidP="00D54B54">
      <w:pPr>
        <w:spacing w:line="480" w:lineRule="auto"/>
        <w:ind w:left="720" w:firstLine="720"/>
        <w:jc w:val="both"/>
        <w:rPr>
          <w:color w:val="221E1F"/>
        </w:rPr>
      </w:pPr>
      <w:r w:rsidRPr="007114B7">
        <w:rPr>
          <w:color w:val="221E1F"/>
        </w:rPr>
        <w:t>In a speech by Fed</w:t>
      </w:r>
      <w:r>
        <w:rPr>
          <w:color w:val="221E1F"/>
        </w:rPr>
        <w:t>eral Reserve</w:t>
      </w:r>
      <w:r w:rsidRPr="007114B7">
        <w:rPr>
          <w:color w:val="221E1F"/>
        </w:rPr>
        <w:t xml:space="preserve"> </w:t>
      </w:r>
      <w:r w:rsidR="00657756">
        <w:rPr>
          <w:color w:val="221E1F"/>
        </w:rPr>
        <w:t>Member Christopher Waller, he</w:t>
      </w:r>
      <w:r w:rsidRPr="007114B7">
        <w:rPr>
          <w:color w:val="221E1F"/>
        </w:rPr>
        <w:t xml:space="preserve"> noted short</w:t>
      </w:r>
      <w:r w:rsidRPr="007114B7">
        <w:rPr>
          <w:color w:val="221E1F"/>
        </w:rPr>
        <w:noBreakHyphen/>
        <w:t>term inflation has picked up recently above the 2% long-term objective, and he states the concern of this short-term inflation outlook is tempered by a number of factors that suggest these elevated readings on inflation are likely to prove temporary.</w:t>
      </w:r>
      <w:r w:rsidR="0008268D">
        <w:rPr>
          <w:rStyle w:val="FootnoteReference"/>
          <w:color w:val="221E1F"/>
        </w:rPr>
        <w:footnoteReference w:id="4"/>
      </w:r>
      <w:r w:rsidRPr="007114B7">
        <w:rPr>
          <w:color w:val="221E1F"/>
        </w:rPr>
        <w:t xml:space="preserve">  </w:t>
      </w:r>
    </w:p>
    <w:p w14:paraId="1945B1AF" w14:textId="2B133A12" w:rsidR="00D54B54" w:rsidRPr="007114B7" w:rsidRDefault="00D54B54" w:rsidP="00D54B54">
      <w:pPr>
        <w:spacing w:line="480" w:lineRule="auto"/>
        <w:ind w:left="720" w:hanging="720"/>
        <w:jc w:val="both"/>
        <w:rPr>
          <w:color w:val="221E1F"/>
        </w:rPr>
      </w:pPr>
      <w:r w:rsidRPr="007114B7">
        <w:tab/>
      </w:r>
      <w:r w:rsidRPr="007114B7">
        <w:tab/>
        <w:t xml:space="preserve">Also, in </w:t>
      </w:r>
      <w:r w:rsidRPr="00997096">
        <w:rPr>
          <w:color w:val="221E1F"/>
        </w:rPr>
        <w:t xml:space="preserve"> </w:t>
      </w:r>
      <w:r w:rsidRPr="007114B7">
        <w:rPr>
          <w:color w:val="221E1F"/>
        </w:rPr>
        <w:t>Fed</w:t>
      </w:r>
      <w:r>
        <w:rPr>
          <w:color w:val="221E1F"/>
        </w:rPr>
        <w:t>eral Reserve</w:t>
      </w:r>
      <w:r w:rsidRPr="007114B7">
        <w:t xml:space="preserve"> Chairman </w:t>
      </w:r>
      <w:r w:rsidR="00657756">
        <w:t xml:space="preserve">Jerome </w:t>
      </w:r>
      <w:r w:rsidRPr="007114B7">
        <w:t>Powell</w:t>
      </w:r>
      <w:r>
        <w:t>’</w:t>
      </w:r>
      <w:r w:rsidRPr="007114B7">
        <w:t>s recent testimony, he indicated that the Fed</w:t>
      </w:r>
      <w:r>
        <w:t>eral Reserve</w:t>
      </w:r>
      <w:r w:rsidRPr="007114B7">
        <w:t xml:space="preserve"> may begin reducing its purchases of Treasury and mortgage-backed securities toward the end of this year</w:t>
      </w:r>
      <w:r>
        <w:t xml:space="preserve">, </w:t>
      </w:r>
      <w:r w:rsidRPr="007114B7">
        <w:t>2021.  He stated that the strength of the employment levels and moderation of long-term inflation outlooks may support this action.</w:t>
      </w:r>
      <w:r>
        <w:rPr>
          <w:rStyle w:val="FootnoteReference"/>
        </w:rPr>
        <w:footnoteReference w:id="5"/>
      </w:r>
    </w:p>
    <w:p w14:paraId="21BE394E" w14:textId="77777777" w:rsidR="00D54B54" w:rsidRPr="007114B7" w:rsidRDefault="00D54B54" w:rsidP="00D54B54">
      <w:pPr>
        <w:suppressLineNumbers/>
        <w:spacing w:line="480" w:lineRule="auto"/>
        <w:ind w:left="720" w:hanging="720"/>
        <w:jc w:val="both"/>
        <w:rPr>
          <w:color w:val="000000"/>
        </w:rPr>
      </w:pPr>
    </w:p>
    <w:p w14:paraId="19A917B1" w14:textId="77777777" w:rsidR="00D54B54" w:rsidRPr="007114B7" w:rsidRDefault="00D54B54" w:rsidP="00D54B54">
      <w:pPr>
        <w:keepNext/>
        <w:keepLines/>
        <w:spacing w:line="480" w:lineRule="auto"/>
        <w:ind w:left="720" w:hanging="720"/>
        <w:jc w:val="both"/>
        <w:rPr>
          <w:b/>
          <w:caps/>
        </w:rPr>
      </w:pPr>
      <w:r w:rsidRPr="007114B7">
        <w:rPr>
          <w:b/>
          <w:caps/>
        </w:rPr>
        <w:lastRenderedPageBreak/>
        <w:t>Q</w:t>
      </w:r>
      <w:r w:rsidRPr="007114B7">
        <w:rPr>
          <w:b/>
          <w:caps/>
        </w:rPr>
        <w:tab/>
        <w:t xml:space="preserve">WHAT DO </w:t>
      </w:r>
      <w:r w:rsidRPr="007114B7">
        <w:rPr>
          <w:b/>
          <w:bCs/>
          <w:caps/>
        </w:rPr>
        <w:t>INDEPENDENT</w:t>
      </w:r>
      <w:r w:rsidRPr="007114B7">
        <w:rPr>
          <w:b/>
          <w:caps/>
        </w:rPr>
        <w:t xml:space="preserve"> ECONOMISTS</w:t>
      </w:r>
      <w:r>
        <w:rPr>
          <w:b/>
          <w:caps/>
        </w:rPr>
        <w:t>’</w:t>
      </w:r>
      <w:r w:rsidRPr="007114B7">
        <w:rPr>
          <w:b/>
          <w:caps/>
        </w:rPr>
        <w:t xml:space="preserve"> OUTLOOKS FOR FUTURE INTEREST RATES INDICATE?</w:t>
      </w:r>
    </w:p>
    <w:p w14:paraId="06FE972E" w14:textId="77777777" w:rsidR="00D54B54" w:rsidRPr="007114B7" w:rsidRDefault="00D54B54" w:rsidP="00D54B54">
      <w:pPr>
        <w:spacing w:line="480" w:lineRule="auto"/>
        <w:ind w:left="720" w:hanging="720"/>
        <w:jc w:val="both"/>
      </w:pPr>
      <w:proofErr w:type="spellStart"/>
      <w:r w:rsidRPr="007114B7">
        <w:t>A</w:t>
      </w:r>
      <w:proofErr w:type="spellEnd"/>
      <w:r w:rsidRPr="007114B7">
        <w:tab/>
        <w:t>Independent economists expect the current low capital costs to prevail over at least the intermediate term.  This is illustrated in projections for both short- and long-term changes in interest rates.  Further, there is a clear trend in forecasted changes in interest rates over time, indicating that capital market participants are becoming more comfortable with today</w:t>
      </w:r>
      <w:r>
        <w:t>’</w:t>
      </w:r>
      <w:r w:rsidRPr="007114B7">
        <w:t>s low-cost capital market environment and expect it to prevail over at least the intermediate future.</w:t>
      </w:r>
    </w:p>
    <w:p w14:paraId="6FFA63D3" w14:textId="4CA3FAE8" w:rsidR="00D54B54" w:rsidRPr="007114B7" w:rsidRDefault="00D54B54" w:rsidP="00D54B54">
      <w:pPr>
        <w:spacing w:line="480" w:lineRule="auto"/>
        <w:ind w:left="720" w:hanging="720"/>
        <w:jc w:val="both"/>
      </w:pPr>
      <w:r w:rsidRPr="007114B7">
        <w:tab/>
      </w:r>
      <w:r w:rsidRPr="007114B7">
        <w:tab/>
        <w:t xml:space="preserve">For example, short-term projections suggest that the market expects capital market costs to remain relatively low.  Table </w:t>
      </w:r>
      <w:r>
        <w:t>1</w:t>
      </w:r>
      <w:r w:rsidRPr="007114B7">
        <w:t xml:space="preserve"> below shows capital cost projections over the next two years, and demonstrates that projected Treasury bond yields are not expected to increase significantly over the </w:t>
      </w:r>
      <w:r w:rsidR="00657756">
        <w:t>this projection period</w:t>
      </w:r>
      <w:r w:rsidRPr="007114B7">
        <w:t xml:space="preserve">.  </w:t>
      </w:r>
    </w:p>
    <w:p w14:paraId="73D4849E" w14:textId="77777777" w:rsidR="00D54B54" w:rsidRPr="007114B7" w:rsidRDefault="00D54B54" w:rsidP="00D54B54">
      <w:pPr>
        <w:suppressLineNumbers/>
        <w:spacing w:line="480" w:lineRule="auto"/>
        <w:ind w:left="86"/>
        <w:jc w:val="center"/>
      </w:pPr>
      <w:r w:rsidRPr="003D7360">
        <w:rPr>
          <w:noProof/>
        </w:rPr>
        <w:lastRenderedPageBreak/>
        <w:drawing>
          <wp:inline distT="0" distB="0" distL="0" distR="0" wp14:anchorId="598D2F54" wp14:editId="185D85C1">
            <wp:extent cx="5760720" cy="6284422"/>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60720" cy="6284422"/>
                    </a:xfrm>
                    <a:prstGeom prst="rect">
                      <a:avLst/>
                    </a:prstGeom>
                    <a:noFill/>
                    <a:ln>
                      <a:noFill/>
                    </a:ln>
                  </pic:spPr>
                </pic:pic>
              </a:graphicData>
            </a:graphic>
          </wp:inline>
        </w:drawing>
      </w:r>
    </w:p>
    <w:p w14:paraId="3AF0A20D" w14:textId="77777777" w:rsidR="00D54B54" w:rsidRPr="007114B7" w:rsidRDefault="00D54B54" w:rsidP="00D54B54">
      <w:pPr>
        <w:spacing w:line="480" w:lineRule="auto"/>
        <w:ind w:left="720" w:hanging="720"/>
        <w:jc w:val="both"/>
      </w:pPr>
      <w:r w:rsidRPr="007114B7">
        <w:tab/>
      </w:r>
      <w:r w:rsidRPr="007114B7">
        <w:tab/>
        <w:t>Further, the outlook for long-term interest rates in the intermediate to longer term is also impacted by the current Federal Reserve actions and the expectation that eventually the Federal Reserve</w:t>
      </w:r>
      <w:r>
        <w:t>’</w:t>
      </w:r>
      <w:r w:rsidRPr="007114B7">
        <w:t xml:space="preserve">s monetary actions will return to more normal levels.  Long-term interest rate projections are illustrated in Table </w:t>
      </w:r>
      <w:r>
        <w:t>2</w:t>
      </w:r>
      <w:r w:rsidRPr="007114B7">
        <w:t xml:space="preserve"> below.</w:t>
      </w:r>
    </w:p>
    <w:p w14:paraId="3C85A1EB" w14:textId="273D45AD" w:rsidR="00D54B54" w:rsidRPr="007114B7" w:rsidRDefault="005C5664" w:rsidP="00D54B54">
      <w:pPr>
        <w:suppressLineNumbers/>
        <w:tabs>
          <w:tab w:val="left" w:pos="1440"/>
          <w:tab w:val="left" w:pos="5472"/>
        </w:tabs>
        <w:spacing w:line="480" w:lineRule="auto"/>
        <w:ind w:left="720" w:hanging="720"/>
        <w:jc w:val="center"/>
      </w:pPr>
      <w:r w:rsidRPr="005C5664">
        <w:rPr>
          <w:noProof/>
        </w:rPr>
        <w:lastRenderedPageBreak/>
        <w:drawing>
          <wp:inline distT="0" distB="0" distL="0" distR="0" wp14:anchorId="76521DC0" wp14:editId="569F6E4D">
            <wp:extent cx="3534193" cy="8220075"/>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37167" cy="8226993"/>
                    </a:xfrm>
                    <a:prstGeom prst="rect">
                      <a:avLst/>
                    </a:prstGeom>
                    <a:noFill/>
                    <a:ln>
                      <a:noFill/>
                    </a:ln>
                  </pic:spPr>
                </pic:pic>
              </a:graphicData>
            </a:graphic>
          </wp:inline>
        </w:drawing>
      </w:r>
    </w:p>
    <w:p w14:paraId="3583121F" w14:textId="77777777" w:rsidR="006435B1" w:rsidRDefault="00D54B54" w:rsidP="00D54B54">
      <w:pPr>
        <w:tabs>
          <w:tab w:val="left" w:pos="1440"/>
          <w:tab w:val="left" w:pos="5472"/>
        </w:tabs>
        <w:spacing w:line="480" w:lineRule="auto"/>
        <w:ind w:left="720" w:hanging="720"/>
        <w:jc w:val="both"/>
      </w:pPr>
      <w:r w:rsidRPr="007114B7">
        <w:lastRenderedPageBreak/>
        <w:tab/>
      </w:r>
      <w:r w:rsidRPr="007114B7">
        <w:tab/>
        <w:t xml:space="preserve">As outlined in Table </w:t>
      </w:r>
      <w:r>
        <w:t>2</w:t>
      </w:r>
      <w:r w:rsidRPr="007114B7">
        <w:t xml:space="preserve"> above, the outlook for increases in interest rates has jumped more recently relative to 2020, but is still relatively modest compared to time periods prior to the beginning of the worldwide pandemic.  Indeed, today</w:t>
      </w:r>
      <w:r>
        <w:t>’</w:t>
      </w:r>
      <w:r w:rsidRPr="007114B7">
        <w:t>s relatively low capital market costs are expected to prevail at least in the short-term out over the next five to ten years.  While there may be some upward movement in cost of capital, that upward movement is uncertain, but is not expected to be significant.</w:t>
      </w:r>
      <w:r>
        <w:t xml:space="preserve">  </w:t>
      </w:r>
    </w:p>
    <w:p w14:paraId="6DA17C00" w14:textId="61F06D4A" w:rsidR="00D54B54" w:rsidRDefault="006435B1" w:rsidP="00D54B54">
      <w:pPr>
        <w:tabs>
          <w:tab w:val="left" w:pos="1440"/>
          <w:tab w:val="left" w:pos="5472"/>
        </w:tabs>
        <w:spacing w:line="480" w:lineRule="auto"/>
        <w:ind w:left="720" w:hanging="720"/>
        <w:jc w:val="both"/>
      </w:pPr>
      <w:r>
        <w:tab/>
      </w:r>
      <w:r>
        <w:tab/>
        <w:t>Moreover, while economists are projecting a modest increase in</w:t>
      </w:r>
      <w:r w:rsidR="001A6AA7">
        <w:t xml:space="preserve"> interest rates relative to those</w:t>
      </w:r>
      <w:r>
        <w:t xml:space="preserve"> published in the past, as noted below, these projections of increases in interest rates are at very best uncertain.  But more specifically, the projected increases relative to the past are relatively modest, and demonstrate that </w:t>
      </w:r>
      <w:proofErr w:type="spellStart"/>
      <w:r>
        <w:t>EPE’s</w:t>
      </w:r>
      <w:proofErr w:type="spellEnd"/>
      <w:r>
        <w:t xml:space="preserve"> proposal to increase its authorized return on equity in this case to 10.</w:t>
      </w:r>
      <w:r w:rsidR="005C5664">
        <w:t>3</w:t>
      </w:r>
      <w:r>
        <w:t>% is simply not reflective of current market capital costs</w:t>
      </w:r>
      <w:r w:rsidR="005C5664">
        <w:t>, particularly in</w:t>
      </w:r>
      <w:r>
        <w:t xml:space="preserve"> comparison to its authorized return on equity of 9.65% in its last Texas case,</w:t>
      </w:r>
      <w:r w:rsidRPr="006435B1">
        <w:rPr>
          <w:rStyle w:val="FootnoteReference"/>
        </w:rPr>
        <w:footnoteReference w:id="6"/>
      </w:r>
      <w:r>
        <w:t xml:space="preserve"> and 9.0% in its most recent New Mexico cas</w:t>
      </w:r>
      <w:r w:rsidRPr="006435B1">
        <w:t>e.</w:t>
      </w:r>
      <w:r w:rsidRPr="006435B1">
        <w:rPr>
          <w:rStyle w:val="FootnoteReference"/>
        </w:rPr>
        <w:footnoteReference w:id="7"/>
      </w:r>
    </w:p>
    <w:p w14:paraId="671EFEB7" w14:textId="77777777" w:rsidR="00D54B54" w:rsidRPr="007114B7" w:rsidRDefault="00D54B54" w:rsidP="00D54B54">
      <w:pPr>
        <w:suppressLineNumbers/>
        <w:tabs>
          <w:tab w:val="left" w:pos="1440"/>
          <w:tab w:val="left" w:pos="5472"/>
        </w:tabs>
        <w:spacing w:line="480" w:lineRule="auto"/>
        <w:ind w:left="720" w:hanging="720"/>
        <w:jc w:val="both"/>
      </w:pPr>
    </w:p>
    <w:p w14:paraId="2B1E8FEB" w14:textId="77777777" w:rsidR="00D54B54" w:rsidRPr="002C207B" w:rsidRDefault="00D54B54" w:rsidP="00D54B54">
      <w:pPr>
        <w:pStyle w:val="Heading1"/>
        <w:rPr>
          <w:caps/>
        </w:rPr>
      </w:pPr>
      <w:bookmarkStart w:id="33" w:name="_Toc85028724"/>
      <w:r>
        <w:t>I</w:t>
      </w:r>
      <w:r w:rsidRPr="002C207B">
        <w:t>I.</w:t>
      </w:r>
      <w:r>
        <w:t xml:space="preserve">  </w:t>
      </w:r>
      <w:proofErr w:type="spellStart"/>
      <w:r>
        <w:rPr>
          <w:rFonts w:eastAsia="Calibri"/>
        </w:rPr>
        <w:t>EPE</w:t>
      </w:r>
      <w:proofErr w:type="spellEnd"/>
      <w:r w:rsidRPr="002C207B">
        <w:rPr>
          <w:rFonts w:eastAsia="Calibri"/>
        </w:rPr>
        <w:t xml:space="preserve"> </w:t>
      </w:r>
      <w:r w:rsidRPr="002C207B">
        <w:t>INVESTMENT RISK</w:t>
      </w:r>
      <w:bookmarkEnd w:id="23"/>
      <w:bookmarkEnd w:id="33"/>
    </w:p>
    <w:p w14:paraId="4E83F141" w14:textId="77777777" w:rsidR="00D54B54" w:rsidRPr="007114B7" w:rsidRDefault="00D54B54" w:rsidP="00D54B54">
      <w:pPr>
        <w:keepNext/>
        <w:keepLines/>
        <w:spacing w:line="480" w:lineRule="auto"/>
        <w:ind w:left="720" w:hanging="720"/>
        <w:jc w:val="both"/>
        <w:rPr>
          <w:b/>
        </w:rPr>
      </w:pPr>
      <w:bookmarkStart w:id="34" w:name="_Toc239820215"/>
      <w:r w:rsidRPr="007114B7">
        <w:rPr>
          <w:b/>
        </w:rPr>
        <w:t>Q</w:t>
      </w:r>
      <w:r w:rsidRPr="007114B7">
        <w:rPr>
          <w:b/>
        </w:rPr>
        <w:tab/>
        <w:t xml:space="preserve">PLEASE DESCRIBE </w:t>
      </w:r>
      <w:r w:rsidRPr="007114B7">
        <w:rPr>
          <w:b/>
          <w:bCs/>
          <w:caps/>
        </w:rPr>
        <w:t>THE</w:t>
      </w:r>
      <w:r w:rsidRPr="007114B7">
        <w:rPr>
          <w:b/>
        </w:rPr>
        <w:t xml:space="preserve"> MARKET</w:t>
      </w:r>
      <w:r>
        <w:rPr>
          <w:b/>
        </w:rPr>
        <w:t>’</w:t>
      </w:r>
      <w:r w:rsidRPr="007114B7">
        <w:rPr>
          <w:b/>
        </w:rPr>
        <w:t xml:space="preserve">S ASSESSMENT OF </w:t>
      </w:r>
      <w:proofErr w:type="spellStart"/>
      <w:r>
        <w:rPr>
          <w:b/>
        </w:rPr>
        <w:t>EPE’</w:t>
      </w:r>
      <w:r w:rsidRPr="007114B7">
        <w:rPr>
          <w:b/>
        </w:rPr>
        <w:t>S</w:t>
      </w:r>
      <w:proofErr w:type="spellEnd"/>
      <w:r w:rsidRPr="007114B7">
        <w:rPr>
          <w:b/>
        </w:rPr>
        <w:t xml:space="preserve"> INVESTMENT RISK.</w:t>
      </w:r>
      <w:bookmarkEnd w:id="34"/>
    </w:p>
    <w:p w14:paraId="36CB1E02" w14:textId="389F0CE0" w:rsidR="00D54B54" w:rsidRPr="007114B7" w:rsidRDefault="00D54B54" w:rsidP="00D54B54">
      <w:pPr>
        <w:spacing w:line="480" w:lineRule="auto"/>
        <w:ind w:left="720" w:hanging="720"/>
        <w:jc w:val="both"/>
      </w:pPr>
      <w:r w:rsidRPr="007114B7">
        <w:t>A</w:t>
      </w:r>
      <w:r w:rsidRPr="007114B7">
        <w:tab/>
      </w:r>
      <w:r w:rsidRPr="007114B7">
        <w:rPr>
          <w:color w:val="000000"/>
        </w:rPr>
        <w:t>The market</w:t>
      </w:r>
      <w:r>
        <w:rPr>
          <w:color w:val="000000"/>
        </w:rPr>
        <w:t>’</w:t>
      </w:r>
      <w:r w:rsidRPr="007114B7">
        <w:rPr>
          <w:color w:val="000000"/>
        </w:rPr>
        <w:t xml:space="preserve">s assessment of </w:t>
      </w:r>
      <w:proofErr w:type="spellStart"/>
      <w:r>
        <w:rPr>
          <w:color w:val="000000"/>
        </w:rPr>
        <w:t>EPE’</w:t>
      </w:r>
      <w:r w:rsidRPr="007114B7">
        <w:rPr>
          <w:color w:val="000000"/>
        </w:rPr>
        <w:t>s</w:t>
      </w:r>
      <w:proofErr w:type="spellEnd"/>
      <w:r w:rsidRPr="007114B7">
        <w:rPr>
          <w:color w:val="000000"/>
        </w:rPr>
        <w:t xml:space="preserve"> investment risk is described by credit rating analysts</w:t>
      </w:r>
      <w:r>
        <w:rPr>
          <w:color w:val="000000"/>
        </w:rPr>
        <w:t>’</w:t>
      </w:r>
      <w:r w:rsidRPr="007114B7">
        <w:rPr>
          <w:color w:val="000000"/>
        </w:rPr>
        <w:t xml:space="preserve"> reports.  </w:t>
      </w:r>
      <w:proofErr w:type="spellStart"/>
      <w:r>
        <w:rPr>
          <w:color w:val="000000"/>
        </w:rPr>
        <w:t>EPE</w:t>
      </w:r>
      <w:proofErr w:type="spellEnd"/>
      <w:r w:rsidRPr="007114B7">
        <w:rPr>
          <w:color w:val="000000"/>
        </w:rPr>
        <w:t xml:space="preserve"> witness Ms. </w:t>
      </w:r>
      <w:r>
        <w:rPr>
          <w:color w:val="000000"/>
        </w:rPr>
        <w:t xml:space="preserve">Lisa </w:t>
      </w:r>
      <w:r w:rsidR="00657756">
        <w:rPr>
          <w:color w:val="000000"/>
        </w:rPr>
        <w:t xml:space="preserve">D. </w:t>
      </w:r>
      <w:proofErr w:type="spellStart"/>
      <w:r>
        <w:rPr>
          <w:color w:val="000000"/>
        </w:rPr>
        <w:t>Budtke</w:t>
      </w:r>
      <w:proofErr w:type="spellEnd"/>
      <w:r w:rsidRPr="007114B7">
        <w:rPr>
          <w:color w:val="000000"/>
        </w:rPr>
        <w:t xml:space="preserve"> testified that </w:t>
      </w:r>
      <w:proofErr w:type="spellStart"/>
      <w:r>
        <w:rPr>
          <w:color w:val="000000"/>
        </w:rPr>
        <w:t>EPE</w:t>
      </w:r>
      <w:proofErr w:type="spellEnd"/>
      <w:r>
        <w:rPr>
          <w:color w:val="000000"/>
        </w:rPr>
        <w:t xml:space="preserve"> has a “Stable” outlook and</w:t>
      </w:r>
      <w:r w:rsidRPr="007114B7">
        <w:rPr>
          <w:color w:val="000000"/>
        </w:rPr>
        <w:t xml:space="preserve"> current credit ratings fr</w:t>
      </w:r>
      <w:r>
        <w:rPr>
          <w:color w:val="000000"/>
        </w:rPr>
        <w:t>om Fitch and Moody’s of BBB</w:t>
      </w:r>
      <w:r w:rsidRPr="007114B7">
        <w:rPr>
          <w:color w:val="000000"/>
        </w:rPr>
        <w:t xml:space="preserve"> and </w:t>
      </w:r>
      <w:r>
        <w:rPr>
          <w:color w:val="000000"/>
        </w:rPr>
        <w:t>Baa2</w:t>
      </w:r>
      <w:r w:rsidRPr="007114B7">
        <w:rPr>
          <w:color w:val="000000"/>
        </w:rPr>
        <w:t>, respectively.</w:t>
      </w:r>
      <w:r w:rsidRPr="007114B7">
        <w:rPr>
          <w:color w:val="000000"/>
          <w:vertAlign w:val="superscript"/>
        </w:rPr>
        <w:footnoteReference w:id="8"/>
      </w:r>
      <w:r w:rsidRPr="007114B7">
        <w:rPr>
          <w:color w:val="000000"/>
        </w:rPr>
        <w:t xml:space="preserve">  </w:t>
      </w:r>
      <w:r>
        <w:rPr>
          <w:color w:val="000000"/>
        </w:rPr>
        <w:t>The Company maintains that it no longer has a credit rating from S&amp;P.</w:t>
      </w:r>
    </w:p>
    <w:p w14:paraId="294B12F0" w14:textId="77777777" w:rsidR="00D54B54" w:rsidRPr="007114B7" w:rsidRDefault="00D54B54" w:rsidP="00D54B54">
      <w:pPr>
        <w:spacing w:line="480" w:lineRule="auto"/>
        <w:ind w:left="720" w:firstLine="720"/>
        <w:jc w:val="both"/>
      </w:pPr>
      <w:r w:rsidRPr="007114B7">
        <w:t xml:space="preserve">Specifically, </w:t>
      </w:r>
      <w:r>
        <w:t>Fitch</w:t>
      </w:r>
      <w:r w:rsidRPr="007114B7">
        <w:t xml:space="preserve"> states the following concerning </w:t>
      </w:r>
      <w:proofErr w:type="spellStart"/>
      <w:r>
        <w:t>EPE</w:t>
      </w:r>
      <w:proofErr w:type="spellEnd"/>
      <w:r w:rsidRPr="007114B7">
        <w:t>:</w:t>
      </w:r>
    </w:p>
    <w:p w14:paraId="40223D5B" w14:textId="77777777" w:rsidR="00D54B54" w:rsidRPr="009626E0" w:rsidRDefault="00D54B54" w:rsidP="00B516D6">
      <w:pPr>
        <w:keepNext/>
        <w:keepLines/>
        <w:spacing w:line="480" w:lineRule="auto"/>
        <w:ind w:left="2160"/>
        <w:rPr>
          <w:b/>
        </w:rPr>
      </w:pPr>
      <w:r w:rsidRPr="009626E0">
        <w:rPr>
          <w:b/>
        </w:rPr>
        <w:lastRenderedPageBreak/>
        <w:t>KEY RATING DRIVERS</w:t>
      </w:r>
    </w:p>
    <w:p w14:paraId="7C98A06D" w14:textId="77777777" w:rsidR="00D54B54" w:rsidRPr="00EC705F" w:rsidRDefault="00D54B54" w:rsidP="00D54B54">
      <w:pPr>
        <w:pStyle w:val="NormalWeb"/>
        <w:spacing w:before="0" w:beforeAutospacing="0" w:after="240" w:afterAutospacing="0"/>
        <w:ind w:left="2160" w:right="720"/>
        <w:jc w:val="both"/>
        <w:rPr>
          <w:rFonts w:ascii="Arial" w:hAnsi="Arial" w:cs="Arial"/>
          <w:sz w:val="22"/>
          <w:szCs w:val="22"/>
        </w:rPr>
      </w:pPr>
      <w:r w:rsidRPr="00EC705F">
        <w:rPr>
          <w:rFonts w:ascii="Arial" w:hAnsi="Arial" w:cs="Arial"/>
          <w:b/>
          <w:sz w:val="22"/>
          <w:szCs w:val="22"/>
        </w:rPr>
        <w:t>Regulated Operations:</w:t>
      </w:r>
      <w:r w:rsidRPr="00EC705F">
        <w:rPr>
          <w:rFonts w:ascii="Arial" w:hAnsi="Arial" w:cs="Arial"/>
          <w:sz w:val="22"/>
          <w:szCs w:val="22"/>
        </w:rPr>
        <w:t xml:space="preserve"> </w:t>
      </w:r>
      <w:proofErr w:type="spellStart"/>
      <w:r w:rsidRPr="00EC705F">
        <w:rPr>
          <w:rFonts w:ascii="Arial" w:hAnsi="Arial" w:cs="Arial"/>
          <w:sz w:val="22"/>
          <w:szCs w:val="22"/>
        </w:rPr>
        <w:t>EPE</w:t>
      </w:r>
      <w:proofErr w:type="spellEnd"/>
      <w:r w:rsidRPr="00EC705F">
        <w:rPr>
          <w:rFonts w:ascii="Arial" w:hAnsi="Arial" w:cs="Arial"/>
          <w:sz w:val="22"/>
          <w:szCs w:val="22"/>
        </w:rPr>
        <w:t xml:space="preserve"> is a vertically integrated electric utility serving customers in west Texas and southern New Mexico. </w:t>
      </w:r>
      <w:r>
        <w:rPr>
          <w:rFonts w:ascii="Arial" w:hAnsi="Arial" w:cs="Arial"/>
          <w:sz w:val="22"/>
          <w:szCs w:val="22"/>
        </w:rPr>
        <w:t xml:space="preserve"> </w:t>
      </w:r>
      <w:r w:rsidRPr="00EC705F">
        <w:rPr>
          <w:rFonts w:ascii="Arial" w:hAnsi="Arial" w:cs="Arial"/>
          <w:sz w:val="22"/>
          <w:szCs w:val="22"/>
        </w:rPr>
        <w:t xml:space="preserve">About 77% of the customer base is in Texas, which Fitch considers a good service territory given strong economic growth. </w:t>
      </w:r>
    </w:p>
    <w:p w14:paraId="064F63AC" w14:textId="77777777" w:rsidR="00D54B54" w:rsidRPr="00EC705F" w:rsidRDefault="00D54B54" w:rsidP="00D54B54">
      <w:pPr>
        <w:pStyle w:val="NormalWeb"/>
        <w:spacing w:before="0" w:beforeAutospacing="0" w:after="240" w:afterAutospacing="0"/>
        <w:ind w:left="2160" w:right="720"/>
        <w:jc w:val="center"/>
        <w:rPr>
          <w:rFonts w:ascii="Arial" w:hAnsi="Arial" w:cs="Arial"/>
          <w:sz w:val="22"/>
          <w:szCs w:val="22"/>
        </w:rPr>
      </w:pPr>
      <w:r w:rsidRPr="00EC705F">
        <w:rPr>
          <w:rFonts w:ascii="Arial" w:hAnsi="Arial" w:cs="Arial"/>
          <w:sz w:val="22"/>
          <w:szCs w:val="22"/>
        </w:rPr>
        <w:t>*</w:t>
      </w:r>
      <w:r>
        <w:rPr>
          <w:rFonts w:ascii="Arial" w:hAnsi="Arial" w:cs="Arial"/>
          <w:sz w:val="22"/>
          <w:szCs w:val="22"/>
        </w:rPr>
        <w:t xml:space="preserve">     </w:t>
      </w:r>
      <w:r w:rsidRPr="00EC705F">
        <w:rPr>
          <w:rFonts w:ascii="Arial" w:hAnsi="Arial" w:cs="Arial"/>
          <w:sz w:val="22"/>
          <w:szCs w:val="22"/>
        </w:rPr>
        <w:t>*</w:t>
      </w:r>
      <w:r>
        <w:rPr>
          <w:rFonts w:ascii="Arial" w:hAnsi="Arial" w:cs="Arial"/>
          <w:sz w:val="22"/>
          <w:szCs w:val="22"/>
        </w:rPr>
        <w:t xml:space="preserve">     </w:t>
      </w:r>
      <w:r w:rsidRPr="00EC705F">
        <w:rPr>
          <w:rFonts w:ascii="Arial" w:hAnsi="Arial" w:cs="Arial"/>
          <w:sz w:val="22"/>
          <w:szCs w:val="22"/>
        </w:rPr>
        <w:t>*</w:t>
      </w:r>
    </w:p>
    <w:p w14:paraId="2EAF6A85" w14:textId="77777777" w:rsidR="00D54B54" w:rsidRPr="00EC705F" w:rsidRDefault="00D54B54" w:rsidP="00D54B54">
      <w:pPr>
        <w:pStyle w:val="NormalWeb"/>
        <w:spacing w:before="0" w:beforeAutospacing="0" w:after="240" w:afterAutospacing="0"/>
        <w:ind w:left="2160" w:right="720"/>
        <w:jc w:val="both"/>
        <w:rPr>
          <w:rFonts w:ascii="Arial" w:hAnsi="Arial" w:cs="Arial"/>
          <w:sz w:val="22"/>
          <w:szCs w:val="22"/>
        </w:rPr>
      </w:pPr>
      <w:r w:rsidRPr="00EC705F">
        <w:rPr>
          <w:rFonts w:ascii="Arial" w:hAnsi="Arial" w:cs="Arial"/>
          <w:b/>
          <w:sz w:val="22"/>
          <w:szCs w:val="22"/>
        </w:rPr>
        <w:t>Relatively Challenging Regulatory Environment:</w:t>
      </w:r>
      <w:r w:rsidRPr="00EC705F">
        <w:rPr>
          <w:rFonts w:ascii="Arial" w:hAnsi="Arial" w:cs="Arial"/>
          <w:sz w:val="22"/>
          <w:szCs w:val="22"/>
        </w:rPr>
        <w:t xml:space="preserve"> Fitch considers Texas and New Mexico challenging regulatory environments, New Mexico in particular, which is approximately 20% of </w:t>
      </w:r>
      <w:proofErr w:type="spellStart"/>
      <w:r w:rsidRPr="00EC705F">
        <w:rPr>
          <w:rFonts w:ascii="Arial" w:hAnsi="Arial" w:cs="Arial"/>
          <w:sz w:val="22"/>
          <w:szCs w:val="22"/>
        </w:rPr>
        <w:t>EPE</w:t>
      </w:r>
      <w:r>
        <w:rPr>
          <w:rFonts w:ascii="Arial" w:hAnsi="Arial" w:cs="Arial"/>
          <w:sz w:val="22"/>
          <w:szCs w:val="22"/>
        </w:rPr>
        <w:t>’</w:t>
      </w:r>
      <w:r w:rsidRPr="00EC705F">
        <w:rPr>
          <w:rFonts w:ascii="Arial" w:hAnsi="Arial" w:cs="Arial"/>
          <w:sz w:val="22"/>
          <w:szCs w:val="22"/>
        </w:rPr>
        <w:t>s</w:t>
      </w:r>
      <w:proofErr w:type="spellEnd"/>
      <w:r w:rsidRPr="00EC705F">
        <w:rPr>
          <w:rFonts w:ascii="Arial" w:hAnsi="Arial" w:cs="Arial"/>
          <w:sz w:val="22"/>
          <w:szCs w:val="22"/>
        </w:rPr>
        <w:t xml:space="preserve"> revenues. </w:t>
      </w:r>
      <w:r>
        <w:rPr>
          <w:rFonts w:ascii="Arial" w:hAnsi="Arial" w:cs="Arial"/>
          <w:sz w:val="22"/>
          <w:szCs w:val="22"/>
        </w:rPr>
        <w:t xml:space="preserve"> </w:t>
      </w:r>
      <w:r w:rsidRPr="00EC705F">
        <w:rPr>
          <w:rFonts w:ascii="Arial" w:hAnsi="Arial" w:cs="Arial"/>
          <w:sz w:val="22"/>
          <w:szCs w:val="22"/>
        </w:rPr>
        <w:t xml:space="preserve">Both states have typically utilized historical test year filings, with partial true ups. </w:t>
      </w:r>
      <w:r>
        <w:rPr>
          <w:rFonts w:ascii="Arial" w:hAnsi="Arial" w:cs="Arial"/>
          <w:sz w:val="22"/>
          <w:szCs w:val="22"/>
        </w:rPr>
        <w:t xml:space="preserve"> </w:t>
      </w:r>
      <w:r w:rsidRPr="00EC705F">
        <w:rPr>
          <w:rFonts w:ascii="Arial" w:hAnsi="Arial" w:cs="Arial"/>
          <w:sz w:val="22"/>
          <w:szCs w:val="22"/>
        </w:rPr>
        <w:t xml:space="preserve">Regulatory lag from the use of a historical test year in Texas and other factors in the rate-setting process in New Mexico have made it difficult for </w:t>
      </w:r>
      <w:proofErr w:type="spellStart"/>
      <w:r w:rsidRPr="00EC705F">
        <w:rPr>
          <w:rFonts w:ascii="Arial" w:hAnsi="Arial" w:cs="Arial"/>
          <w:sz w:val="22"/>
          <w:szCs w:val="22"/>
        </w:rPr>
        <w:t>EPE</w:t>
      </w:r>
      <w:proofErr w:type="spellEnd"/>
      <w:r w:rsidRPr="00EC705F">
        <w:rPr>
          <w:rFonts w:ascii="Arial" w:hAnsi="Arial" w:cs="Arial"/>
          <w:sz w:val="22"/>
          <w:szCs w:val="22"/>
        </w:rPr>
        <w:t xml:space="preserve"> to earn its authorized </w:t>
      </w:r>
      <w:proofErr w:type="spellStart"/>
      <w:r w:rsidRPr="00EC705F">
        <w:rPr>
          <w:rFonts w:ascii="Arial" w:hAnsi="Arial" w:cs="Arial"/>
          <w:sz w:val="22"/>
          <w:szCs w:val="22"/>
        </w:rPr>
        <w:t>ROEs</w:t>
      </w:r>
      <w:proofErr w:type="spellEnd"/>
      <w:r w:rsidRPr="00EC705F">
        <w:rPr>
          <w:rFonts w:ascii="Arial" w:hAnsi="Arial" w:cs="Arial"/>
          <w:sz w:val="22"/>
          <w:szCs w:val="22"/>
        </w:rPr>
        <w:t>.</w:t>
      </w:r>
    </w:p>
    <w:p w14:paraId="1A962A2A" w14:textId="77777777" w:rsidR="00D54B54" w:rsidRPr="00EC705F" w:rsidRDefault="00D54B54" w:rsidP="00D54B54">
      <w:pPr>
        <w:pStyle w:val="NormalWeb"/>
        <w:spacing w:before="0" w:beforeAutospacing="0" w:after="240" w:afterAutospacing="0"/>
        <w:ind w:left="2160" w:right="720"/>
        <w:jc w:val="both"/>
        <w:rPr>
          <w:rFonts w:ascii="Arial" w:hAnsi="Arial" w:cs="Arial"/>
          <w:sz w:val="22"/>
          <w:szCs w:val="22"/>
          <w:u w:val="single"/>
        </w:rPr>
      </w:pPr>
      <w:r w:rsidRPr="00EC705F">
        <w:rPr>
          <w:rFonts w:ascii="Arial" w:hAnsi="Arial" w:cs="Arial"/>
          <w:sz w:val="22"/>
          <w:szCs w:val="22"/>
          <w:u w:val="single"/>
        </w:rPr>
        <w:t xml:space="preserve">Offsetting some of the challenges are supportive rate mechanisms such as fuel and purchased power recovery mechanisms and riders for energy efficiency program costs. </w:t>
      </w:r>
      <w:r>
        <w:rPr>
          <w:rFonts w:ascii="Arial" w:hAnsi="Arial" w:cs="Arial"/>
          <w:sz w:val="22"/>
          <w:szCs w:val="22"/>
          <w:u w:val="single"/>
        </w:rPr>
        <w:t xml:space="preserve"> </w:t>
      </w:r>
      <w:r w:rsidRPr="00EC705F">
        <w:rPr>
          <w:rFonts w:ascii="Arial" w:hAnsi="Arial" w:cs="Arial"/>
          <w:sz w:val="22"/>
          <w:szCs w:val="22"/>
          <w:u w:val="single"/>
        </w:rPr>
        <w:t xml:space="preserve">Additionally, in Texas, </w:t>
      </w:r>
      <w:proofErr w:type="spellStart"/>
      <w:r w:rsidRPr="00EC705F">
        <w:rPr>
          <w:rFonts w:ascii="Arial" w:hAnsi="Arial" w:cs="Arial"/>
          <w:sz w:val="22"/>
          <w:szCs w:val="22"/>
          <w:u w:val="single"/>
        </w:rPr>
        <w:t>EPE</w:t>
      </w:r>
      <w:proofErr w:type="spellEnd"/>
      <w:r w:rsidRPr="00EC705F">
        <w:rPr>
          <w:rFonts w:ascii="Arial" w:hAnsi="Arial" w:cs="Arial"/>
          <w:sz w:val="22"/>
          <w:szCs w:val="22"/>
          <w:u w:val="single"/>
        </w:rPr>
        <w:t xml:space="preserve"> is able to recover its investment in distribution and transmission through riders, which provide some protection from regulatory lag in between rate cases.</w:t>
      </w:r>
    </w:p>
    <w:p w14:paraId="0DDC496E" w14:textId="77777777" w:rsidR="00D54B54" w:rsidRPr="00EC705F" w:rsidRDefault="00D54B54" w:rsidP="00D54B54">
      <w:pPr>
        <w:pStyle w:val="NormalWeb"/>
        <w:spacing w:before="0" w:beforeAutospacing="0" w:after="240" w:afterAutospacing="0"/>
        <w:ind w:left="2160" w:right="720"/>
        <w:jc w:val="center"/>
        <w:rPr>
          <w:rFonts w:ascii="Arial" w:hAnsi="Arial" w:cs="Arial"/>
          <w:sz w:val="22"/>
          <w:szCs w:val="22"/>
        </w:rPr>
      </w:pPr>
      <w:r w:rsidRPr="00EC705F">
        <w:rPr>
          <w:rFonts w:ascii="Arial" w:hAnsi="Arial" w:cs="Arial"/>
          <w:sz w:val="22"/>
          <w:szCs w:val="22"/>
        </w:rPr>
        <w:t>*</w:t>
      </w:r>
      <w:r>
        <w:rPr>
          <w:rFonts w:ascii="Arial" w:hAnsi="Arial" w:cs="Arial"/>
          <w:sz w:val="22"/>
          <w:szCs w:val="22"/>
        </w:rPr>
        <w:t xml:space="preserve">     </w:t>
      </w:r>
      <w:r w:rsidRPr="00EC705F">
        <w:rPr>
          <w:rFonts w:ascii="Arial" w:hAnsi="Arial" w:cs="Arial"/>
          <w:sz w:val="22"/>
          <w:szCs w:val="22"/>
        </w:rPr>
        <w:t>*</w:t>
      </w:r>
      <w:r>
        <w:rPr>
          <w:rFonts w:ascii="Arial" w:hAnsi="Arial" w:cs="Arial"/>
          <w:sz w:val="22"/>
          <w:szCs w:val="22"/>
        </w:rPr>
        <w:t xml:space="preserve">     </w:t>
      </w:r>
      <w:r w:rsidRPr="00EC705F">
        <w:rPr>
          <w:rFonts w:ascii="Arial" w:hAnsi="Arial" w:cs="Arial"/>
          <w:sz w:val="22"/>
          <w:szCs w:val="22"/>
        </w:rPr>
        <w:t>*</w:t>
      </w:r>
    </w:p>
    <w:p w14:paraId="17A462CD" w14:textId="77777777" w:rsidR="00863085" w:rsidRDefault="00D54B54" w:rsidP="00D54B54">
      <w:pPr>
        <w:pStyle w:val="NormalWeb"/>
        <w:spacing w:before="0" w:beforeAutospacing="0" w:after="240" w:afterAutospacing="0"/>
        <w:ind w:left="2160" w:right="720"/>
        <w:jc w:val="both"/>
        <w:rPr>
          <w:rFonts w:ascii="Arial" w:hAnsi="Arial" w:cs="Arial"/>
          <w:sz w:val="22"/>
          <w:szCs w:val="22"/>
        </w:rPr>
        <w:sectPr w:rsidR="00863085">
          <w:headerReference w:type="default" r:id="rId25"/>
          <w:type w:val="continuous"/>
          <w:pgSz w:w="12240" w:h="15840" w:code="1"/>
          <w:pgMar w:top="1440" w:right="1440" w:bottom="1440" w:left="1728" w:header="576" w:footer="576" w:gutter="0"/>
          <w:lnNumType w:countBy="1"/>
          <w:cols w:space="720"/>
          <w:docGrid w:linePitch="299"/>
        </w:sectPr>
      </w:pPr>
      <w:r w:rsidRPr="00EC705F">
        <w:rPr>
          <w:rFonts w:ascii="Arial" w:hAnsi="Arial" w:cs="Arial"/>
          <w:b/>
          <w:sz w:val="22"/>
          <w:szCs w:val="22"/>
        </w:rPr>
        <w:t>Significant Ring-fencing Measures:</w:t>
      </w:r>
      <w:r w:rsidRPr="00EC705F">
        <w:rPr>
          <w:rFonts w:ascii="Arial" w:hAnsi="Arial" w:cs="Arial"/>
          <w:sz w:val="22"/>
          <w:szCs w:val="22"/>
        </w:rPr>
        <w:t xml:space="preserve"> </w:t>
      </w:r>
      <w:r>
        <w:rPr>
          <w:rFonts w:ascii="Arial" w:hAnsi="Arial" w:cs="Arial"/>
          <w:sz w:val="22"/>
          <w:szCs w:val="22"/>
        </w:rPr>
        <w:t xml:space="preserve"> </w:t>
      </w:r>
      <w:r w:rsidRPr="00EC705F">
        <w:rPr>
          <w:rFonts w:ascii="Arial" w:hAnsi="Arial" w:cs="Arial"/>
          <w:sz w:val="22"/>
          <w:szCs w:val="22"/>
        </w:rPr>
        <w:t xml:space="preserve">On July 29, 2020, </w:t>
      </w:r>
      <w:proofErr w:type="spellStart"/>
      <w:r w:rsidRPr="00EC705F">
        <w:rPr>
          <w:rFonts w:ascii="Arial" w:hAnsi="Arial" w:cs="Arial"/>
          <w:sz w:val="22"/>
          <w:szCs w:val="22"/>
        </w:rPr>
        <w:t>EPE</w:t>
      </w:r>
      <w:proofErr w:type="spellEnd"/>
      <w:r w:rsidRPr="00EC705F">
        <w:rPr>
          <w:rFonts w:ascii="Arial" w:hAnsi="Arial" w:cs="Arial"/>
          <w:sz w:val="22"/>
          <w:szCs w:val="22"/>
        </w:rPr>
        <w:t xml:space="preserve"> was acquired by Sun Jupiter, a wholly-owned indirect subsidiary of </w:t>
      </w:r>
      <w:proofErr w:type="spellStart"/>
      <w:r w:rsidRPr="00EC705F">
        <w:rPr>
          <w:rFonts w:ascii="Arial" w:hAnsi="Arial" w:cs="Arial"/>
          <w:sz w:val="22"/>
          <w:szCs w:val="22"/>
        </w:rPr>
        <w:t>IIF</w:t>
      </w:r>
      <w:proofErr w:type="spellEnd"/>
      <w:r w:rsidRPr="00EC705F">
        <w:rPr>
          <w:rFonts w:ascii="Arial" w:hAnsi="Arial" w:cs="Arial"/>
          <w:sz w:val="22"/>
          <w:szCs w:val="22"/>
        </w:rPr>
        <w:t xml:space="preserve">, an investment vehicle advised by </w:t>
      </w:r>
      <w:proofErr w:type="spellStart"/>
      <w:r w:rsidRPr="00EC705F">
        <w:rPr>
          <w:rFonts w:ascii="Arial" w:hAnsi="Arial" w:cs="Arial"/>
          <w:sz w:val="22"/>
          <w:szCs w:val="22"/>
        </w:rPr>
        <w:t>JPMIM</w:t>
      </w:r>
      <w:proofErr w:type="spellEnd"/>
      <w:r w:rsidRPr="00EC705F">
        <w:rPr>
          <w:rFonts w:ascii="Arial" w:hAnsi="Arial" w:cs="Arial"/>
          <w:sz w:val="22"/>
          <w:szCs w:val="22"/>
        </w:rPr>
        <w:t xml:space="preserve">. </w:t>
      </w:r>
      <w:r>
        <w:rPr>
          <w:rFonts w:ascii="Arial" w:hAnsi="Arial" w:cs="Arial"/>
          <w:sz w:val="22"/>
          <w:szCs w:val="22"/>
        </w:rPr>
        <w:t xml:space="preserve"> </w:t>
      </w:r>
      <w:r w:rsidRPr="00EC705F">
        <w:rPr>
          <w:rFonts w:ascii="Arial" w:hAnsi="Arial" w:cs="Arial"/>
          <w:sz w:val="22"/>
          <w:szCs w:val="22"/>
        </w:rPr>
        <w:t xml:space="preserve">Sun Jupiter was created solely for the purpose to acquire and own </w:t>
      </w:r>
      <w:proofErr w:type="spellStart"/>
      <w:r w:rsidRPr="00EC705F">
        <w:rPr>
          <w:rFonts w:ascii="Arial" w:hAnsi="Arial" w:cs="Arial"/>
          <w:sz w:val="22"/>
          <w:szCs w:val="22"/>
        </w:rPr>
        <w:t>EPE</w:t>
      </w:r>
      <w:proofErr w:type="spellEnd"/>
      <w:r w:rsidRPr="00EC705F">
        <w:rPr>
          <w:rFonts w:ascii="Arial" w:hAnsi="Arial" w:cs="Arial"/>
          <w:sz w:val="22"/>
          <w:szCs w:val="22"/>
        </w:rPr>
        <w:t>.</w:t>
      </w:r>
      <w:r>
        <w:rPr>
          <w:rFonts w:ascii="Arial" w:hAnsi="Arial" w:cs="Arial"/>
          <w:sz w:val="22"/>
          <w:szCs w:val="22"/>
        </w:rPr>
        <w:t xml:space="preserve"> </w:t>
      </w:r>
      <w:r w:rsidRPr="00EC705F">
        <w:rPr>
          <w:rFonts w:ascii="Arial" w:hAnsi="Arial" w:cs="Arial"/>
          <w:sz w:val="22"/>
          <w:szCs w:val="22"/>
        </w:rPr>
        <w:t xml:space="preserve"> The utility is ring-fenced from Sun Jupiter with strong legal provisions including a majority independent board (7/10), separate books/record keeping, no pooled cash, no cross defaults, no intercompany lending, no credit guarantees, a non-consolidation opinion, and restrictions on dividends, which are limited to net income and must keep </w:t>
      </w:r>
      <w:proofErr w:type="spellStart"/>
      <w:r w:rsidRPr="00EC705F">
        <w:rPr>
          <w:rFonts w:ascii="Arial" w:hAnsi="Arial" w:cs="Arial"/>
          <w:sz w:val="22"/>
          <w:szCs w:val="22"/>
        </w:rPr>
        <w:t>EPE</w:t>
      </w:r>
      <w:proofErr w:type="spellEnd"/>
      <w:r w:rsidRPr="00EC705F">
        <w:rPr>
          <w:rFonts w:ascii="Arial" w:hAnsi="Arial" w:cs="Arial"/>
          <w:sz w:val="22"/>
          <w:szCs w:val="22"/>
        </w:rPr>
        <w:t xml:space="preserve"> in compliance with authorized regulatory equity ratios.</w:t>
      </w:r>
    </w:p>
    <w:p w14:paraId="77B61BCE" w14:textId="77777777" w:rsidR="00863085" w:rsidRDefault="00D54B54" w:rsidP="00863085">
      <w:pPr>
        <w:pStyle w:val="NormalWeb"/>
        <w:spacing w:before="0" w:beforeAutospacing="0" w:after="240" w:afterAutospacing="0"/>
        <w:ind w:left="2160" w:right="720"/>
        <w:jc w:val="both"/>
        <w:rPr>
          <w:rFonts w:ascii="Arial" w:hAnsi="Arial" w:cs="Arial"/>
          <w:sz w:val="22"/>
          <w:szCs w:val="22"/>
        </w:rPr>
      </w:pPr>
      <w:r w:rsidRPr="00EC705F">
        <w:rPr>
          <w:rFonts w:ascii="Arial" w:hAnsi="Arial" w:cs="Arial"/>
          <w:sz w:val="22"/>
          <w:szCs w:val="22"/>
        </w:rPr>
        <w:t xml:space="preserve">In addition, </w:t>
      </w:r>
      <w:proofErr w:type="spellStart"/>
      <w:r w:rsidRPr="00EC705F">
        <w:rPr>
          <w:rFonts w:ascii="Arial" w:hAnsi="Arial" w:cs="Arial"/>
          <w:sz w:val="22"/>
          <w:szCs w:val="22"/>
        </w:rPr>
        <w:t>EPE</w:t>
      </w:r>
      <w:proofErr w:type="spellEnd"/>
      <w:r w:rsidRPr="00EC705F">
        <w:rPr>
          <w:rFonts w:ascii="Arial" w:hAnsi="Arial" w:cs="Arial"/>
          <w:sz w:val="22"/>
          <w:szCs w:val="22"/>
        </w:rPr>
        <w:t xml:space="preserve"> must maintain </w:t>
      </w:r>
      <w:r>
        <w:rPr>
          <w:rFonts w:ascii="Arial" w:hAnsi="Arial" w:cs="Arial"/>
          <w:sz w:val="22"/>
          <w:szCs w:val="22"/>
        </w:rPr>
        <w:t>‘</w:t>
      </w:r>
      <w:r w:rsidRPr="00EC705F">
        <w:rPr>
          <w:rFonts w:ascii="Arial" w:hAnsi="Arial" w:cs="Arial"/>
          <w:sz w:val="22"/>
          <w:szCs w:val="22"/>
        </w:rPr>
        <w:t>BBB</w:t>
      </w:r>
      <w:r>
        <w:rPr>
          <w:rFonts w:ascii="Arial" w:hAnsi="Arial" w:cs="Arial"/>
          <w:sz w:val="22"/>
          <w:szCs w:val="22"/>
        </w:rPr>
        <w:t>’</w:t>
      </w:r>
      <w:r w:rsidRPr="00EC705F">
        <w:rPr>
          <w:rFonts w:ascii="Arial" w:hAnsi="Arial" w:cs="Arial"/>
          <w:sz w:val="22"/>
          <w:szCs w:val="22"/>
        </w:rPr>
        <w:t xml:space="preserve"> credit ratings from at least one major credit ratings agency (out of two) to be able to pay dividends, except for contractual tax payments, until otherwise ordered by the Public Utilities Commission of Texas (</w:t>
      </w:r>
      <w:proofErr w:type="spellStart"/>
      <w:r w:rsidRPr="00EC705F">
        <w:rPr>
          <w:rFonts w:ascii="Arial" w:hAnsi="Arial" w:cs="Arial"/>
          <w:sz w:val="22"/>
          <w:szCs w:val="22"/>
        </w:rPr>
        <w:t>PUCT</w:t>
      </w:r>
      <w:proofErr w:type="spellEnd"/>
      <w:r w:rsidRPr="00EC705F">
        <w:rPr>
          <w:rFonts w:ascii="Arial" w:hAnsi="Arial" w:cs="Arial"/>
          <w:sz w:val="22"/>
          <w:szCs w:val="22"/>
        </w:rPr>
        <w:t xml:space="preserve">) and </w:t>
      </w:r>
      <w:proofErr w:type="spellStart"/>
      <w:r w:rsidRPr="00EC705F">
        <w:rPr>
          <w:rFonts w:ascii="Arial" w:hAnsi="Arial" w:cs="Arial"/>
          <w:sz w:val="22"/>
          <w:szCs w:val="22"/>
        </w:rPr>
        <w:t>NMPRC</w:t>
      </w:r>
      <w:proofErr w:type="spellEnd"/>
      <w:r w:rsidRPr="00EC705F">
        <w:rPr>
          <w:rFonts w:ascii="Arial" w:hAnsi="Arial" w:cs="Arial"/>
          <w:sz w:val="22"/>
          <w:szCs w:val="22"/>
        </w:rPr>
        <w:t xml:space="preserve"> or </w:t>
      </w:r>
      <w:proofErr w:type="spellStart"/>
      <w:r w:rsidRPr="00EC705F">
        <w:rPr>
          <w:rFonts w:ascii="Arial" w:hAnsi="Arial" w:cs="Arial"/>
          <w:sz w:val="22"/>
          <w:szCs w:val="22"/>
        </w:rPr>
        <w:t>EPE</w:t>
      </w:r>
      <w:r>
        <w:rPr>
          <w:rFonts w:ascii="Arial" w:hAnsi="Arial" w:cs="Arial"/>
          <w:sz w:val="22"/>
          <w:szCs w:val="22"/>
        </w:rPr>
        <w:t>’</w:t>
      </w:r>
      <w:r w:rsidRPr="00EC705F">
        <w:rPr>
          <w:rFonts w:ascii="Arial" w:hAnsi="Arial" w:cs="Arial"/>
          <w:sz w:val="22"/>
          <w:szCs w:val="22"/>
        </w:rPr>
        <w:t>s</w:t>
      </w:r>
      <w:proofErr w:type="spellEnd"/>
      <w:r w:rsidRPr="00EC705F">
        <w:rPr>
          <w:rFonts w:ascii="Arial" w:hAnsi="Arial" w:cs="Arial"/>
          <w:sz w:val="22"/>
          <w:szCs w:val="22"/>
        </w:rPr>
        <w:t xml:space="preserve"> credit rating at one of the major credit rating agencies returns to </w:t>
      </w:r>
      <w:r>
        <w:rPr>
          <w:rFonts w:ascii="Arial" w:hAnsi="Arial" w:cs="Arial"/>
          <w:sz w:val="22"/>
          <w:szCs w:val="22"/>
        </w:rPr>
        <w:t>‘</w:t>
      </w:r>
      <w:r w:rsidRPr="00EC705F">
        <w:rPr>
          <w:rFonts w:ascii="Arial" w:hAnsi="Arial" w:cs="Arial"/>
          <w:sz w:val="22"/>
          <w:szCs w:val="22"/>
        </w:rPr>
        <w:t>BBB</w:t>
      </w:r>
      <w:r>
        <w:rPr>
          <w:rFonts w:ascii="Arial" w:hAnsi="Arial" w:cs="Arial"/>
          <w:sz w:val="22"/>
          <w:szCs w:val="22"/>
        </w:rPr>
        <w:t>’</w:t>
      </w:r>
      <w:r w:rsidRPr="00EC705F">
        <w:rPr>
          <w:rFonts w:ascii="Arial" w:hAnsi="Arial" w:cs="Arial"/>
          <w:sz w:val="22"/>
          <w:szCs w:val="22"/>
        </w:rPr>
        <w:t xml:space="preserve">. </w:t>
      </w:r>
      <w:r>
        <w:rPr>
          <w:rFonts w:ascii="Arial" w:hAnsi="Arial" w:cs="Arial"/>
          <w:sz w:val="22"/>
          <w:szCs w:val="22"/>
        </w:rPr>
        <w:t xml:space="preserve"> </w:t>
      </w:r>
      <w:proofErr w:type="spellStart"/>
      <w:r w:rsidRPr="00EC705F">
        <w:rPr>
          <w:rFonts w:ascii="Arial" w:hAnsi="Arial" w:cs="Arial"/>
          <w:sz w:val="22"/>
          <w:szCs w:val="22"/>
        </w:rPr>
        <w:t>IIF</w:t>
      </w:r>
      <w:proofErr w:type="spellEnd"/>
      <w:r w:rsidRPr="00EC705F">
        <w:rPr>
          <w:rFonts w:ascii="Arial" w:hAnsi="Arial" w:cs="Arial"/>
          <w:sz w:val="22"/>
          <w:szCs w:val="22"/>
        </w:rPr>
        <w:t xml:space="preserve"> has committed to maintain a </w:t>
      </w:r>
      <w:r w:rsidRPr="00EC705F">
        <w:rPr>
          <w:rFonts w:ascii="Arial" w:hAnsi="Arial" w:cs="Arial"/>
          <w:sz w:val="22"/>
          <w:szCs w:val="22"/>
        </w:rPr>
        <w:lastRenderedPageBreak/>
        <w:t xml:space="preserve">controlling ownership interest in </w:t>
      </w:r>
      <w:proofErr w:type="spellStart"/>
      <w:r w:rsidRPr="00EC705F">
        <w:rPr>
          <w:rFonts w:ascii="Arial" w:hAnsi="Arial" w:cs="Arial"/>
          <w:sz w:val="22"/>
          <w:szCs w:val="22"/>
        </w:rPr>
        <w:t>EPE</w:t>
      </w:r>
      <w:proofErr w:type="spellEnd"/>
      <w:r w:rsidRPr="00EC705F">
        <w:rPr>
          <w:rFonts w:ascii="Arial" w:hAnsi="Arial" w:cs="Arial"/>
          <w:sz w:val="22"/>
          <w:szCs w:val="22"/>
        </w:rPr>
        <w:t xml:space="preserve"> for at least 10 years post-closing.</w:t>
      </w:r>
      <w:r w:rsidRPr="00EC705F">
        <w:rPr>
          <w:rFonts w:ascii="Arial" w:hAnsi="Arial" w:cs="Arial"/>
          <w:sz w:val="22"/>
          <w:szCs w:val="22"/>
          <w:vertAlign w:val="superscript"/>
        </w:rPr>
        <w:footnoteReference w:id="9"/>
      </w:r>
    </w:p>
    <w:p w14:paraId="455842F7" w14:textId="77777777" w:rsidR="002948F2" w:rsidRPr="00863085" w:rsidRDefault="002948F2" w:rsidP="002948F2">
      <w:pPr>
        <w:pStyle w:val="NormalWeb"/>
        <w:spacing w:before="0" w:beforeAutospacing="0" w:after="240" w:afterAutospacing="0"/>
        <w:ind w:right="720" w:firstLine="720"/>
        <w:jc w:val="both"/>
        <w:rPr>
          <w:rFonts w:ascii="Arial" w:hAnsi="Arial" w:cs="Arial"/>
          <w:sz w:val="22"/>
          <w:szCs w:val="22"/>
        </w:rPr>
      </w:pPr>
      <w:r w:rsidRPr="00863085">
        <w:rPr>
          <w:rFonts w:ascii="Arial" w:hAnsi="Arial" w:cs="Arial"/>
          <w:sz w:val="22"/>
          <w:szCs w:val="22"/>
        </w:rPr>
        <w:t>Similarly, Moody’s states:</w:t>
      </w:r>
    </w:p>
    <w:p w14:paraId="660DCE93" w14:textId="77777777" w:rsidR="002948F2" w:rsidRPr="00A141E6" w:rsidRDefault="002948F2" w:rsidP="002948F2">
      <w:pPr>
        <w:keepNext/>
        <w:keepLines/>
        <w:autoSpaceDE w:val="0"/>
        <w:autoSpaceDN w:val="0"/>
        <w:adjustRightInd w:val="0"/>
        <w:spacing w:after="240"/>
        <w:ind w:left="1440" w:right="720"/>
        <w:jc w:val="both"/>
        <w:rPr>
          <w:rFonts w:cs="Arial"/>
          <w:b/>
          <w:bCs/>
          <w:color w:val="000000"/>
          <w:szCs w:val="22"/>
        </w:rPr>
      </w:pPr>
      <w:r w:rsidRPr="00A141E6">
        <w:rPr>
          <w:rFonts w:cs="Arial"/>
          <w:b/>
          <w:bCs/>
          <w:color w:val="000000"/>
          <w:szCs w:val="22"/>
        </w:rPr>
        <w:t>████████████████████</w:t>
      </w:r>
    </w:p>
    <w:p w14:paraId="3ABADD3B" w14:textId="77777777" w:rsidR="002948F2" w:rsidRPr="00A141E6" w:rsidRDefault="002948F2" w:rsidP="002948F2">
      <w:pPr>
        <w:autoSpaceDE w:val="0"/>
        <w:autoSpaceDN w:val="0"/>
        <w:adjustRightInd w:val="0"/>
        <w:spacing w:after="240"/>
        <w:ind w:left="1440" w:right="720"/>
        <w:jc w:val="both"/>
        <w:rPr>
          <w:rFonts w:cs="Arial"/>
          <w:b/>
          <w:bCs/>
          <w:color w:val="000000"/>
          <w:szCs w:val="22"/>
        </w:rPr>
      </w:pPr>
      <w:r w:rsidRPr="00A141E6">
        <w:rPr>
          <w:rFonts w:cs="Arial"/>
          <w:b/>
          <w:bCs/>
          <w:color w:val="000000"/>
          <w:szCs w:val="22"/>
        </w:rPr>
        <w:t>██████████████████████████████████████████</w:t>
      </w:r>
    </w:p>
    <w:p w14:paraId="2DC5F5A1" w14:textId="77777777" w:rsidR="002948F2" w:rsidRPr="00A141E6" w:rsidRDefault="002948F2" w:rsidP="002948F2">
      <w:pPr>
        <w:autoSpaceDE w:val="0"/>
        <w:autoSpaceDN w:val="0"/>
        <w:adjustRightInd w:val="0"/>
        <w:spacing w:after="240"/>
        <w:ind w:left="1440" w:right="720"/>
        <w:jc w:val="both"/>
        <w:rPr>
          <w:rFonts w:cs="Arial"/>
          <w:color w:val="000000"/>
          <w:szCs w:val="22"/>
        </w:rPr>
      </w:pPr>
      <w:r w:rsidRPr="00A141E6">
        <w:rPr>
          <w:rFonts w:cs="Arial"/>
          <w:b/>
          <w:bCs/>
          <w:color w:val="000000"/>
          <w:szCs w:val="22"/>
        </w:rPr>
        <w:t>██████████████████████████████████████████████████████████████████████████████████████████████████████████████████████████████████████████████████████████████████████</w:t>
      </w:r>
    </w:p>
    <w:p w14:paraId="1E6CE91F" w14:textId="77777777" w:rsidR="002948F2" w:rsidRPr="00A141E6" w:rsidRDefault="002948F2" w:rsidP="002948F2">
      <w:pPr>
        <w:autoSpaceDE w:val="0"/>
        <w:autoSpaceDN w:val="0"/>
        <w:adjustRightInd w:val="0"/>
        <w:spacing w:after="240"/>
        <w:ind w:left="1440" w:right="720"/>
        <w:jc w:val="both"/>
        <w:rPr>
          <w:rFonts w:cs="Arial"/>
          <w:color w:val="000000"/>
          <w:szCs w:val="22"/>
        </w:rPr>
      </w:pPr>
      <w:r w:rsidRPr="00A141E6">
        <w:rPr>
          <w:rFonts w:cs="Arial"/>
          <w:b/>
          <w:bCs/>
          <w:color w:val="000000"/>
          <w:szCs w:val="22"/>
        </w:rPr>
        <w:t>████████████████████████████████████████████████████████████████████████████████████████████████████████████████████████████████████████████████████████████████████████████████████████████████████████████████████████████████████████████████████████████████████████████████████████████████████████████████████████████████████████████████████████████████████████████████████████████████████████████████████████████████████████████████████████████████████████████████████████████████████████████████████████████████████████████████████████████████████████████████████████████████</w:t>
      </w:r>
    </w:p>
    <w:p w14:paraId="5338169D" w14:textId="77777777" w:rsidR="002948F2" w:rsidRPr="007C2E48" w:rsidRDefault="002948F2" w:rsidP="002948F2">
      <w:pPr>
        <w:autoSpaceDE w:val="0"/>
        <w:autoSpaceDN w:val="0"/>
        <w:adjustRightInd w:val="0"/>
        <w:spacing w:after="240"/>
        <w:ind w:left="1440" w:right="720"/>
        <w:jc w:val="both"/>
        <w:rPr>
          <w:rFonts w:cs="Arial"/>
          <w:color w:val="000000"/>
          <w:szCs w:val="22"/>
        </w:rPr>
        <w:sectPr w:rsidR="002948F2" w:rsidRPr="007C2E48">
          <w:headerReference w:type="default" r:id="rId26"/>
          <w:type w:val="continuous"/>
          <w:pgSz w:w="12240" w:h="15840" w:code="1"/>
          <w:pgMar w:top="1440" w:right="1440" w:bottom="1440" w:left="1728" w:header="576" w:footer="576" w:gutter="0"/>
          <w:lnNumType w:countBy="1"/>
          <w:cols w:space="720"/>
          <w:docGrid w:linePitch="299"/>
        </w:sectPr>
      </w:pPr>
      <w:r w:rsidRPr="00A141E6">
        <w:rPr>
          <w:rFonts w:cs="Arial"/>
          <w:b/>
          <w:bCs/>
          <w:color w:val="000000"/>
          <w:szCs w:val="22"/>
        </w:rPr>
        <w:t>████████████████████████████████████████████████████████████████████████████████████████████████████████████████████████████████████████████████████████████████████████████████████████████████████████████████████████████████████████████████████████████████████████████████████████████████████████████████████████████████████████████████████████████████████████████████████████████████████████████████████████████████████████████████████████████████████████████████████████████████████████████████████████████████████████████████████████████████████████████████████████████████████████████████████████████████████████████████████████████</w:t>
      </w:r>
      <w:r w:rsidRPr="007C2E48">
        <w:rPr>
          <w:rStyle w:val="FootnoteReference"/>
          <w:rFonts w:cs="Arial"/>
          <w:color w:val="000000"/>
          <w:szCs w:val="22"/>
        </w:rPr>
        <w:footnoteReference w:id="10"/>
      </w:r>
    </w:p>
    <w:p w14:paraId="29C86266" w14:textId="77777777" w:rsidR="002948F2" w:rsidRDefault="002948F2" w:rsidP="002948F2">
      <w:pPr>
        <w:keepNext/>
        <w:spacing w:line="480" w:lineRule="auto"/>
        <w:outlineLvl w:val="1"/>
        <w:rPr>
          <w:b/>
          <w:bCs/>
          <w:sz w:val="24"/>
          <w:szCs w:val="24"/>
          <w:u w:val="single"/>
        </w:rPr>
        <w:sectPr w:rsidR="002948F2">
          <w:headerReference w:type="default" r:id="rId27"/>
          <w:type w:val="continuous"/>
          <w:pgSz w:w="12240" w:h="15840" w:code="1"/>
          <w:pgMar w:top="1440" w:right="1440" w:bottom="1440" w:left="1728" w:header="576" w:footer="576" w:gutter="0"/>
          <w:lnNumType w:countBy="1"/>
          <w:cols w:space="720"/>
          <w:docGrid w:linePitch="299"/>
        </w:sectPr>
      </w:pPr>
      <w:bookmarkStart w:id="36" w:name="_Toc63936857"/>
      <w:bookmarkStart w:id="37" w:name="_Toc85028725"/>
      <w:proofErr w:type="spellStart"/>
      <w:r w:rsidRPr="007C2E48">
        <w:rPr>
          <w:b/>
          <w:bCs/>
          <w:sz w:val="24"/>
          <w:szCs w:val="24"/>
          <w:u w:val="single"/>
        </w:rPr>
        <w:lastRenderedPageBreak/>
        <w:t>II.A</w:t>
      </w:r>
      <w:proofErr w:type="spellEnd"/>
      <w:r w:rsidRPr="007C2E48">
        <w:rPr>
          <w:b/>
          <w:bCs/>
          <w:sz w:val="24"/>
          <w:szCs w:val="24"/>
          <w:u w:val="single"/>
        </w:rPr>
        <w:t xml:space="preserve">.  </w:t>
      </w:r>
      <w:proofErr w:type="spellStart"/>
      <w:r w:rsidRPr="007C2E48">
        <w:rPr>
          <w:rFonts w:eastAsia="Calibri"/>
          <w:b/>
          <w:bCs/>
          <w:sz w:val="24"/>
          <w:szCs w:val="24"/>
          <w:u w:val="single"/>
        </w:rPr>
        <w:t>EPE</w:t>
      </w:r>
      <w:r w:rsidRPr="007C2E48">
        <w:rPr>
          <w:b/>
          <w:bCs/>
          <w:sz w:val="24"/>
          <w:szCs w:val="24"/>
          <w:u w:val="single"/>
        </w:rPr>
        <w:t>’s</w:t>
      </w:r>
      <w:proofErr w:type="spellEnd"/>
      <w:r w:rsidRPr="007C2E48">
        <w:rPr>
          <w:b/>
          <w:bCs/>
          <w:sz w:val="24"/>
          <w:szCs w:val="24"/>
          <w:u w:val="single"/>
        </w:rPr>
        <w:t xml:space="preserve"> Proposed Capital Structure</w:t>
      </w:r>
      <w:bookmarkEnd w:id="36"/>
      <w:bookmarkEnd w:id="37"/>
    </w:p>
    <w:p w14:paraId="0773A2F9" w14:textId="77777777" w:rsidR="002948F2" w:rsidRPr="002C207B" w:rsidRDefault="002948F2" w:rsidP="002948F2">
      <w:pPr>
        <w:keepNext/>
        <w:keepLines/>
        <w:spacing w:line="480" w:lineRule="auto"/>
        <w:ind w:left="720" w:hanging="720"/>
        <w:jc w:val="both"/>
        <w:rPr>
          <w:rFonts w:cs="Arial"/>
          <w:b/>
          <w:caps/>
          <w:szCs w:val="22"/>
        </w:rPr>
      </w:pPr>
      <w:r w:rsidRPr="002C207B">
        <w:rPr>
          <w:rFonts w:cs="Arial"/>
          <w:b/>
          <w:caps/>
          <w:szCs w:val="22"/>
        </w:rPr>
        <w:t>Q</w:t>
      </w:r>
      <w:r w:rsidRPr="002C207B">
        <w:rPr>
          <w:rFonts w:cs="Arial"/>
          <w:b/>
          <w:caps/>
          <w:szCs w:val="22"/>
        </w:rPr>
        <w:tab/>
        <w:t xml:space="preserve">WHAT IS </w:t>
      </w:r>
      <w:proofErr w:type="spellStart"/>
      <w:r>
        <w:rPr>
          <w:rFonts w:cs="Arial"/>
          <w:b/>
          <w:caps/>
          <w:szCs w:val="22"/>
        </w:rPr>
        <w:t>EPE’</w:t>
      </w:r>
      <w:r w:rsidRPr="002C207B">
        <w:rPr>
          <w:rFonts w:cs="Arial"/>
          <w:b/>
          <w:caps/>
          <w:szCs w:val="22"/>
        </w:rPr>
        <w:t>S</w:t>
      </w:r>
      <w:proofErr w:type="spellEnd"/>
      <w:r w:rsidRPr="002C207B">
        <w:rPr>
          <w:rFonts w:cs="Arial"/>
          <w:b/>
          <w:caps/>
          <w:szCs w:val="22"/>
        </w:rPr>
        <w:t xml:space="preserve"> PROPOSED CAPITAL STRUCTURE?</w:t>
      </w:r>
    </w:p>
    <w:p w14:paraId="61C70A48" w14:textId="10EB1361" w:rsidR="00D54B54" w:rsidRDefault="00D54B54" w:rsidP="00D54B54">
      <w:pPr>
        <w:spacing w:line="480" w:lineRule="auto"/>
        <w:ind w:left="720" w:hanging="720"/>
        <w:jc w:val="both"/>
        <w:rPr>
          <w:rFonts w:cs="Arial"/>
          <w:szCs w:val="22"/>
        </w:rPr>
      </w:pPr>
      <w:r w:rsidRPr="002C207B">
        <w:rPr>
          <w:rFonts w:cs="Arial"/>
          <w:szCs w:val="22"/>
        </w:rPr>
        <w:t>A</w:t>
      </w:r>
      <w:r w:rsidRPr="002C207B">
        <w:rPr>
          <w:rFonts w:cs="Arial"/>
          <w:szCs w:val="22"/>
        </w:rPr>
        <w:tab/>
      </w:r>
      <w:proofErr w:type="spellStart"/>
      <w:r>
        <w:rPr>
          <w:rFonts w:cs="Arial"/>
          <w:szCs w:val="22"/>
        </w:rPr>
        <w:t>EPE’</w:t>
      </w:r>
      <w:r w:rsidRPr="002C207B">
        <w:rPr>
          <w:rFonts w:cs="Arial"/>
          <w:szCs w:val="22"/>
        </w:rPr>
        <w:t>s</w:t>
      </w:r>
      <w:proofErr w:type="spellEnd"/>
      <w:r w:rsidRPr="002C207B">
        <w:rPr>
          <w:rFonts w:cs="Arial"/>
          <w:szCs w:val="22"/>
        </w:rPr>
        <w:t xml:space="preserve"> proposed capital structure is sponsored by </w:t>
      </w:r>
      <w:proofErr w:type="spellStart"/>
      <w:r>
        <w:rPr>
          <w:rFonts w:cs="Arial"/>
          <w:szCs w:val="22"/>
        </w:rPr>
        <w:t>EPE</w:t>
      </w:r>
      <w:proofErr w:type="spellEnd"/>
      <w:r w:rsidRPr="002C207B">
        <w:rPr>
          <w:rFonts w:cs="Arial"/>
          <w:szCs w:val="22"/>
        </w:rPr>
        <w:t xml:space="preserve"> witness </w:t>
      </w:r>
      <w:r>
        <w:rPr>
          <w:rFonts w:cs="Arial"/>
          <w:szCs w:val="22"/>
        </w:rPr>
        <w:t xml:space="preserve">Ms. Lisa </w:t>
      </w:r>
      <w:proofErr w:type="spellStart"/>
      <w:r>
        <w:rPr>
          <w:rFonts w:cs="Arial"/>
          <w:szCs w:val="22"/>
        </w:rPr>
        <w:t>Bud</w:t>
      </w:r>
      <w:r w:rsidR="00657756">
        <w:rPr>
          <w:rFonts w:cs="Arial"/>
          <w:szCs w:val="22"/>
        </w:rPr>
        <w:t>t</w:t>
      </w:r>
      <w:r>
        <w:rPr>
          <w:rFonts w:cs="Arial"/>
          <w:szCs w:val="22"/>
        </w:rPr>
        <w:t>ke</w:t>
      </w:r>
      <w:proofErr w:type="spellEnd"/>
      <w:r w:rsidRPr="002C207B">
        <w:rPr>
          <w:rFonts w:cs="Arial"/>
          <w:szCs w:val="22"/>
        </w:rPr>
        <w:t xml:space="preserve"> and shown in Table 3 below.</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50"/>
        <w:gridCol w:w="1629"/>
      </w:tblGrid>
      <w:tr w:rsidR="00D54B54" w14:paraId="6CF72805" w14:textId="77777777" w:rsidTr="006435B1">
        <w:trPr>
          <w:jc w:val="center"/>
        </w:trPr>
        <w:tc>
          <w:tcPr>
            <w:tcW w:w="5679" w:type="dxa"/>
            <w:gridSpan w:val="2"/>
          </w:tcPr>
          <w:p w14:paraId="2BE26145" w14:textId="77777777" w:rsidR="00D54B54" w:rsidRPr="002C207B" w:rsidRDefault="00D54B54" w:rsidP="006435B1">
            <w:pPr>
              <w:keepNext/>
              <w:tabs>
                <w:tab w:val="left" w:pos="720"/>
              </w:tabs>
              <w:spacing w:before="240"/>
              <w:ind w:right="-29"/>
              <w:jc w:val="center"/>
              <w:rPr>
                <w:b/>
                <w:bCs/>
                <w:szCs w:val="24"/>
              </w:rPr>
            </w:pPr>
            <w:r w:rsidRPr="002C207B">
              <w:rPr>
                <w:b/>
                <w:bCs/>
                <w:szCs w:val="24"/>
              </w:rPr>
              <w:t>TABLE 3</w:t>
            </w:r>
          </w:p>
          <w:p w14:paraId="26BA6A3C" w14:textId="77777777" w:rsidR="00D54B54" w:rsidRPr="002C207B" w:rsidRDefault="00D54B54" w:rsidP="006435B1">
            <w:pPr>
              <w:keepNext/>
              <w:tabs>
                <w:tab w:val="left" w:pos="720"/>
              </w:tabs>
              <w:ind w:right="-26"/>
              <w:jc w:val="center"/>
              <w:rPr>
                <w:b/>
                <w:bCs/>
                <w:szCs w:val="24"/>
              </w:rPr>
            </w:pPr>
          </w:p>
          <w:p w14:paraId="588A554A" w14:textId="77777777" w:rsidR="00D54B54" w:rsidRPr="002C207B" w:rsidRDefault="00D54B54" w:rsidP="006435B1">
            <w:pPr>
              <w:keepNext/>
              <w:tabs>
                <w:tab w:val="left" w:pos="720"/>
              </w:tabs>
              <w:ind w:right="-26"/>
              <w:jc w:val="center"/>
              <w:rPr>
                <w:b/>
                <w:bCs/>
                <w:szCs w:val="24"/>
              </w:rPr>
            </w:pPr>
            <w:proofErr w:type="spellStart"/>
            <w:r>
              <w:rPr>
                <w:b/>
                <w:szCs w:val="24"/>
                <w:u w:val="single"/>
              </w:rPr>
              <w:t>EPE</w:t>
            </w:r>
            <w:r>
              <w:rPr>
                <w:b/>
                <w:bCs/>
                <w:szCs w:val="24"/>
                <w:u w:val="single"/>
              </w:rPr>
              <w:t>’</w:t>
            </w:r>
            <w:r w:rsidRPr="002C207B">
              <w:rPr>
                <w:b/>
                <w:bCs/>
                <w:szCs w:val="24"/>
                <w:u w:val="single"/>
              </w:rPr>
              <w:t>s</w:t>
            </w:r>
            <w:proofErr w:type="spellEnd"/>
            <w:r w:rsidRPr="002C207B">
              <w:rPr>
                <w:b/>
                <w:bCs/>
                <w:szCs w:val="24"/>
                <w:u w:val="single"/>
              </w:rPr>
              <w:t xml:space="preserve"> Proposed Capital Structure</w:t>
            </w:r>
          </w:p>
          <w:p w14:paraId="4DF6DB63" w14:textId="77777777" w:rsidR="00D54B54" w:rsidRPr="002C207B" w:rsidRDefault="00D54B54" w:rsidP="006435B1">
            <w:pPr>
              <w:keepNext/>
              <w:tabs>
                <w:tab w:val="left" w:pos="720"/>
              </w:tabs>
              <w:ind w:right="-26"/>
              <w:jc w:val="center"/>
              <w:rPr>
                <w:szCs w:val="24"/>
              </w:rPr>
            </w:pPr>
            <w:r w:rsidRPr="002C207B">
              <w:rPr>
                <w:b/>
                <w:bCs/>
                <w:szCs w:val="24"/>
              </w:rPr>
              <w:t>(</w:t>
            </w:r>
            <w:r>
              <w:rPr>
                <w:b/>
                <w:bCs/>
                <w:szCs w:val="24"/>
              </w:rPr>
              <w:t>December 31</w:t>
            </w:r>
            <w:r w:rsidRPr="002C207B">
              <w:rPr>
                <w:b/>
                <w:bCs/>
                <w:szCs w:val="24"/>
              </w:rPr>
              <w:t>, 2020)</w:t>
            </w:r>
          </w:p>
          <w:p w14:paraId="124B4733" w14:textId="77777777" w:rsidR="00D54B54" w:rsidRPr="002C207B" w:rsidRDefault="00D54B54" w:rsidP="006435B1">
            <w:pPr>
              <w:keepNext/>
              <w:tabs>
                <w:tab w:val="left" w:pos="720"/>
              </w:tabs>
              <w:ind w:right="-26"/>
              <w:jc w:val="center"/>
              <w:rPr>
                <w:rFonts w:ascii="Times New Roman" w:hAnsi="Times New Roman"/>
                <w:b/>
                <w:bCs/>
                <w:sz w:val="24"/>
                <w:szCs w:val="24"/>
              </w:rPr>
            </w:pPr>
          </w:p>
        </w:tc>
      </w:tr>
      <w:tr w:rsidR="00D54B54" w14:paraId="54FA650F" w14:textId="77777777" w:rsidTr="006435B1">
        <w:trPr>
          <w:jc w:val="center"/>
        </w:trPr>
        <w:tc>
          <w:tcPr>
            <w:tcW w:w="4050" w:type="dxa"/>
          </w:tcPr>
          <w:p w14:paraId="60C7465E" w14:textId="77777777" w:rsidR="00D54B54" w:rsidRPr="002C207B" w:rsidRDefault="00D54B54" w:rsidP="006435B1">
            <w:pPr>
              <w:keepNext/>
              <w:tabs>
                <w:tab w:val="left" w:pos="720"/>
              </w:tabs>
              <w:ind w:left="162" w:right="-26"/>
              <w:jc w:val="center"/>
              <w:rPr>
                <w:b/>
                <w:bCs/>
                <w:szCs w:val="24"/>
                <w:u w:val="single"/>
              </w:rPr>
            </w:pPr>
          </w:p>
          <w:p w14:paraId="57E37C68" w14:textId="77777777" w:rsidR="00D54B54" w:rsidRPr="002C207B" w:rsidRDefault="00D54B54" w:rsidP="006435B1">
            <w:pPr>
              <w:keepNext/>
              <w:ind w:left="162" w:right="-26"/>
              <w:rPr>
                <w:rFonts w:ascii="Times New Roman" w:hAnsi="Times New Roman"/>
                <w:b/>
                <w:bCs/>
                <w:sz w:val="24"/>
                <w:szCs w:val="24"/>
                <w:u w:val="single"/>
              </w:rPr>
            </w:pPr>
            <w:r w:rsidRPr="002C207B">
              <w:rPr>
                <w:b/>
                <w:bCs/>
                <w:szCs w:val="24"/>
                <w:u w:val="single"/>
              </w:rPr>
              <w:t>                       Description               _</w:t>
            </w:r>
          </w:p>
        </w:tc>
        <w:tc>
          <w:tcPr>
            <w:tcW w:w="1629" w:type="dxa"/>
          </w:tcPr>
          <w:p w14:paraId="4D289013" w14:textId="77777777" w:rsidR="00D54B54" w:rsidRPr="002C207B" w:rsidRDefault="00D54B54" w:rsidP="006435B1">
            <w:pPr>
              <w:keepNext/>
              <w:tabs>
                <w:tab w:val="left" w:pos="720"/>
              </w:tabs>
              <w:ind w:right="-26"/>
              <w:jc w:val="center"/>
              <w:rPr>
                <w:b/>
                <w:bCs/>
                <w:szCs w:val="24"/>
              </w:rPr>
            </w:pPr>
          </w:p>
          <w:p w14:paraId="282C1121" w14:textId="77777777" w:rsidR="00D54B54" w:rsidRPr="002C207B" w:rsidRDefault="00D54B54" w:rsidP="006435B1">
            <w:pPr>
              <w:keepNext/>
              <w:tabs>
                <w:tab w:val="left" w:pos="720"/>
              </w:tabs>
              <w:ind w:right="-26"/>
              <w:jc w:val="center"/>
              <w:rPr>
                <w:b/>
                <w:bCs/>
                <w:szCs w:val="24"/>
                <w:u w:val="single"/>
              </w:rPr>
            </w:pPr>
            <w:r w:rsidRPr="002C207B">
              <w:rPr>
                <w:b/>
                <w:bCs/>
                <w:szCs w:val="24"/>
                <w:u w:val="single"/>
              </w:rPr>
              <w:t> Weight </w:t>
            </w:r>
          </w:p>
          <w:p w14:paraId="3D99EBDD" w14:textId="77777777" w:rsidR="00D54B54" w:rsidRPr="002C207B" w:rsidRDefault="00D54B54" w:rsidP="006435B1">
            <w:pPr>
              <w:keepNext/>
              <w:tabs>
                <w:tab w:val="left" w:pos="720"/>
              </w:tabs>
              <w:ind w:right="-26"/>
              <w:jc w:val="center"/>
              <w:rPr>
                <w:rFonts w:ascii="Times New Roman" w:hAnsi="Times New Roman"/>
                <w:b/>
                <w:bCs/>
                <w:sz w:val="24"/>
                <w:szCs w:val="24"/>
              </w:rPr>
            </w:pPr>
          </w:p>
        </w:tc>
      </w:tr>
      <w:tr w:rsidR="00D54B54" w14:paraId="47F434F1" w14:textId="77777777" w:rsidTr="006435B1">
        <w:trPr>
          <w:trHeight w:val="144"/>
          <w:jc w:val="center"/>
        </w:trPr>
        <w:tc>
          <w:tcPr>
            <w:tcW w:w="4050" w:type="dxa"/>
          </w:tcPr>
          <w:p w14:paraId="2503E03F" w14:textId="77777777" w:rsidR="00D54B54" w:rsidRPr="002C207B" w:rsidRDefault="00D54B54" w:rsidP="006435B1">
            <w:pPr>
              <w:keepNext/>
              <w:tabs>
                <w:tab w:val="left" w:pos="720"/>
              </w:tabs>
              <w:ind w:left="162" w:right="-26"/>
              <w:jc w:val="both"/>
              <w:rPr>
                <w:rFonts w:ascii="Times New Roman" w:hAnsi="Times New Roman"/>
                <w:sz w:val="24"/>
                <w:szCs w:val="24"/>
              </w:rPr>
            </w:pPr>
            <w:r w:rsidRPr="002C207B">
              <w:rPr>
                <w:szCs w:val="24"/>
              </w:rPr>
              <w:t>Long-Term Debt</w:t>
            </w:r>
          </w:p>
        </w:tc>
        <w:tc>
          <w:tcPr>
            <w:tcW w:w="1629" w:type="dxa"/>
          </w:tcPr>
          <w:p w14:paraId="20BE84AA" w14:textId="77777777" w:rsidR="00D54B54" w:rsidRPr="002C207B" w:rsidRDefault="00D54B54" w:rsidP="006435B1">
            <w:pPr>
              <w:keepNext/>
              <w:ind w:right="252"/>
              <w:jc w:val="right"/>
              <w:rPr>
                <w:rFonts w:ascii="Times New Roman" w:hAnsi="Times New Roman"/>
                <w:sz w:val="24"/>
                <w:szCs w:val="24"/>
              </w:rPr>
            </w:pPr>
            <w:r>
              <w:rPr>
                <w:szCs w:val="24"/>
              </w:rPr>
              <w:t>49.00</w:t>
            </w:r>
            <w:r w:rsidRPr="002C207B">
              <w:rPr>
                <w:szCs w:val="24"/>
              </w:rPr>
              <w:t>%</w:t>
            </w:r>
          </w:p>
        </w:tc>
      </w:tr>
      <w:tr w:rsidR="00D54B54" w14:paraId="0FC3271A" w14:textId="77777777" w:rsidTr="006435B1">
        <w:trPr>
          <w:jc w:val="center"/>
        </w:trPr>
        <w:tc>
          <w:tcPr>
            <w:tcW w:w="4050" w:type="dxa"/>
          </w:tcPr>
          <w:p w14:paraId="7E9FCA74" w14:textId="77777777" w:rsidR="00D54B54" w:rsidRPr="002C207B" w:rsidRDefault="00D54B54" w:rsidP="006435B1">
            <w:pPr>
              <w:keepNext/>
              <w:tabs>
                <w:tab w:val="left" w:pos="720"/>
              </w:tabs>
              <w:ind w:left="162" w:right="-26"/>
              <w:jc w:val="both"/>
              <w:rPr>
                <w:rFonts w:ascii="Times New Roman" w:hAnsi="Times New Roman"/>
                <w:sz w:val="24"/>
                <w:szCs w:val="24"/>
              </w:rPr>
            </w:pPr>
            <w:r w:rsidRPr="002C207B">
              <w:rPr>
                <w:szCs w:val="24"/>
              </w:rPr>
              <w:t>Common Equity</w:t>
            </w:r>
          </w:p>
        </w:tc>
        <w:tc>
          <w:tcPr>
            <w:tcW w:w="1629" w:type="dxa"/>
          </w:tcPr>
          <w:p w14:paraId="5326BA3A" w14:textId="77777777" w:rsidR="00D54B54" w:rsidRPr="002C207B" w:rsidRDefault="00D54B54" w:rsidP="006435B1">
            <w:pPr>
              <w:keepNext/>
              <w:ind w:right="252"/>
              <w:jc w:val="right"/>
              <w:rPr>
                <w:rFonts w:ascii="Times New Roman" w:hAnsi="Times New Roman"/>
                <w:sz w:val="24"/>
                <w:szCs w:val="24"/>
                <w:u w:val="single"/>
              </w:rPr>
            </w:pPr>
            <w:r w:rsidRPr="002C207B">
              <w:rPr>
                <w:szCs w:val="24"/>
                <w:u w:val="single"/>
              </w:rPr>
              <w:t xml:space="preserve">  </w:t>
            </w:r>
            <w:r>
              <w:rPr>
                <w:szCs w:val="24"/>
                <w:u w:val="single"/>
              </w:rPr>
              <w:t>51</w:t>
            </w:r>
            <w:r w:rsidRPr="002C207B">
              <w:rPr>
                <w:szCs w:val="24"/>
                <w:u w:val="single"/>
              </w:rPr>
              <w:t>.00%</w:t>
            </w:r>
          </w:p>
        </w:tc>
      </w:tr>
      <w:tr w:rsidR="00D54B54" w14:paraId="14286FBB" w14:textId="77777777" w:rsidTr="006435B1">
        <w:trPr>
          <w:jc w:val="center"/>
        </w:trPr>
        <w:tc>
          <w:tcPr>
            <w:tcW w:w="4050" w:type="dxa"/>
          </w:tcPr>
          <w:p w14:paraId="4CBFD6BA" w14:textId="77777777" w:rsidR="00D54B54" w:rsidRPr="002C207B" w:rsidRDefault="00D54B54" w:rsidP="006435B1">
            <w:pPr>
              <w:keepNext/>
              <w:tabs>
                <w:tab w:val="left" w:pos="720"/>
              </w:tabs>
              <w:ind w:left="162" w:right="-26"/>
              <w:rPr>
                <w:rFonts w:ascii="Times New Roman" w:hAnsi="Times New Roman"/>
                <w:sz w:val="24"/>
                <w:szCs w:val="24"/>
              </w:rPr>
            </w:pPr>
            <w:r w:rsidRPr="002C207B">
              <w:rPr>
                <w:szCs w:val="24"/>
              </w:rPr>
              <w:t xml:space="preserve">    Total Regulatory Capital Structure</w:t>
            </w:r>
          </w:p>
        </w:tc>
        <w:tc>
          <w:tcPr>
            <w:tcW w:w="1629" w:type="dxa"/>
          </w:tcPr>
          <w:p w14:paraId="769D85F1" w14:textId="77777777" w:rsidR="00D54B54" w:rsidRPr="002C207B" w:rsidRDefault="00D54B54" w:rsidP="006435B1">
            <w:pPr>
              <w:keepNext/>
              <w:ind w:right="252"/>
              <w:jc w:val="right"/>
              <w:rPr>
                <w:rFonts w:ascii="Times New Roman" w:hAnsi="Times New Roman"/>
                <w:sz w:val="24"/>
                <w:szCs w:val="24"/>
              </w:rPr>
            </w:pPr>
            <w:r w:rsidRPr="002C207B">
              <w:rPr>
                <w:szCs w:val="24"/>
              </w:rPr>
              <w:t>100.00%</w:t>
            </w:r>
          </w:p>
        </w:tc>
      </w:tr>
      <w:tr w:rsidR="00D54B54" w14:paraId="0A0C7340" w14:textId="77777777" w:rsidTr="006435B1">
        <w:trPr>
          <w:jc w:val="center"/>
        </w:trPr>
        <w:tc>
          <w:tcPr>
            <w:tcW w:w="5679" w:type="dxa"/>
            <w:gridSpan w:val="2"/>
          </w:tcPr>
          <w:p w14:paraId="6E53121A" w14:textId="77777777" w:rsidR="00D54B54" w:rsidRPr="002C207B" w:rsidRDefault="00D54B54" w:rsidP="006435B1">
            <w:pPr>
              <w:keepNext/>
              <w:tabs>
                <w:tab w:val="left" w:pos="720"/>
              </w:tabs>
              <w:ind w:left="162" w:right="-26"/>
              <w:jc w:val="both"/>
              <w:rPr>
                <w:szCs w:val="24"/>
              </w:rPr>
            </w:pPr>
            <w:r w:rsidRPr="002C207B">
              <w:rPr>
                <w:szCs w:val="24"/>
              </w:rPr>
              <w:t xml:space="preserve">________________   </w:t>
            </w:r>
          </w:p>
          <w:p w14:paraId="03EA5FFE" w14:textId="77777777" w:rsidR="00D54B54" w:rsidRPr="002C207B" w:rsidRDefault="00D54B54" w:rsidP="006435B1">
            <w:pPr>
              <w:keepNext/>
              <w:tabs>
                <w:tab w:val="left" w:pos="720"/>
              </w:tabs>
              <w:ind w:left="162" w:right="-26"/>
              <w:jc w:val="both"/>
              <w:rPr>
                <w:szCs w:val="24"/>
              </w:rPr>
            </w:pPr>
          </w:p>
          <w:p w14:paraId="51714028" w14:textId="77777777" w:rsidR="00D54B54" w:rsidRPr="002C207B" w:rsidRDefault="00D54B54" w:rsidP="006435B1">
            <w:pPr>
              <w:keepNext/>
              <w:tabs>
                <w:tab w:val="left" w:pos="981"/>
              </w:tabs>
              <w:ind w:left="981" w:right="-26" w:hanging="810"/>
              <w:rPr>
                <w:szCs w:val="24"/>
              </w:rPr>
            </w:pPr>
            <w:r w:rsidRPr="002C207B">
              <w:rPr>
                <w:szCs w:val="24"/>
              </w:rPr>
              <w:t xml:space="preserve">Source:  Schedule </w:t>
            </w:r>
            <w:r>
              <w:rPr>
                <w:szCs w:val="24"/>
              </w:rPr>
              <w:t>K-1.</w:t>
            </w:r>
          </w:p>
          <w:p w14:paraId="00B710CF" w14:textId="77777777" w:rsidR="00D54B54" w:rsidRPr="002C207B" w:rsidRDefault="00D54B54" w:rsidP="006435B1">
            <w:pPr>
              <w:keepNext/>
              <w:tabs>
                <w:tab w:val="left" w:pos="925"/>
              </w:tabs>
              <w:ind w:left="162" w:right="-26"/>
              <w:rPr>
                <w:szCs w:val="24"/>
              </w:rPr>
            </w:pPr>
          </w:p>
        </w:tc>
      </w:tr>
    </w:tbl>
    <w:p w14:paraId="1AAE0B83" w14:textId="77777777" w:rsidR="00D54B54" w:rsidRPr="002C207B" w:rsidRDefault="00D54B54" w:rsidP="00D54B54">
      <w:pPr>
        <w:suppressLineNumbers/>
        <w:spacing w:line="480" w:lineRule="auto"/>
        <w:ind w:left="720" w:hanging="720"/>
        <w:jc w:val="center"/>
        <w:rPr>
          <w:rFonts w:cs="Arial"/>
          <w:b/>
          <w:bCs/>
          <w:szCs w:val="22"/>
        </w:rPr>
      </w:pPr>
    </w:p>
    <w:p w14:paraId="21FC547B" w14:textId="208ECCB6" w:rsidR="00D54B54" w:rsidRPr="002C207B" w:rsidRDefault="00D54B54" w:rsidP="00D54B54">
      <w:pPr>
        <w:spacing w:line="480" w:lineRule="auto"/>
        <w:ind w:left="720"/>
        <w:jc w:val="both"/>
        <w:rPr>
          <w:rFonts w:cs="Arial"/>
          <w:bCs/>
          <w:szCs w:val="22"/>
        </w:rPr>
      </w:pPr>
      <w:proofErr w:type="spellStart"/>
      <w:r>
        <w:rPr>
          <w:rFonts w:cs="Arial"/>
          <w:bCs/>
          <w:szCs w:val="22"/>
        </w:rPr>
        <w:t>EPE’</w:t>
      </w:r>
      <w:r w:rsidRPr="002C207B">
        <w:rPr>
          <w:rFonts w:cs="Arial"/>
          <w:bCs/>
          <w:szCs w:val="22"/>
        </w:rPr>
        <w:t>s</w:t>
      </w:r>
      <w:proofErr w:type="spellEnd"/>
      <w:r w:rsidRPr="002C207B">
        <w:rPr>
          <w:rFonts w:cs="Arial"/>
          <w:bCs/>
          <w:szCs w:val="22"/>
        </w:rPr>
        <w:t xml:space="preserve"> capital structure is based on </w:t>
      </w:r>
      <w:r w:rsidR="00F80171">
        <w:rPr>
          <w:rFonts w:cs="Arial"/>
          <w:bCs/>
          <w:szCs w:val="22"/>
        </w:rPr>
        <w:t xml:space="preserve">adjusted </w:t>
      </w:r>
      <w:r w:rsidRPr="002C207B">
        <w:rPr>
          <w:rFonts w:cs="Arial"/>
          <w:bCs/>
          <w:szCs w:val="22"/>
        </w:rPr>
        <w:t xml:space="preserve">capital balances for the period ending </w:t>
      </w:r>
      <w:r>
        <w:rPr>
          <w:rFonts w:cs="Arial"/>
          <w:bCs/>
          <w:szCs w:val="22"/>
        </w:rPr>
        <w:t>December 31</w:t>
      </w:r>
      <w:r w:rsidRPr="002C207B">
        <w:rPr>
          <w:rFonts w:cs="Arial"/>
          <w:bCs/>
          <w:szCs w:val="22"/>
        </w:rPr>
        <w:t xml:space="preserve">, 2020.  </w:t>
      </w:r>
      <w:r>
        <w:rPr>
          <w:rFonts w:cs="Arial"/>
          <w:bCs/>
          <w:szCs w:val="22"/>
        </w:rPr>
        <w:t>I am not taking issue with the Company’s proposed ratemaking capital structure.</w:t>
      </w:r>
    </w:p>
    <w:p w14:paraId="6841B122" w14:textId="77777777" w:rsidR="00D54B54" w:rsidRPr="002C207B" w:rsidRDefault="00D54B54" w:rsidP="00D54B54">
      <w:pPr>
        <w:keepNext/>
        <w:keepLines/>
        <w:suppressLineNumbers/>
        <w:spacing w:line="480" w:lineRule="auto"/>
        <w:ind w:left="720" w:hanging="720"/>
        <w:jc w:val="both"/>
        <w:rPr>
          <w:rFonts w:cs="Arial"/>
          <w:caps/>
          <w:szCs w:val="22"/>
        </w:rPr>
      </w:pPr>
    </w:p>
    <w:p w14:paraId="3B35619F" w14:textId="77777777" w:rsidR="00D54B54" w:rsidRPr="00153C46" w:rsidRDefault="00D54B54" w:rsidP="00D54B54">
      <w:pPr>
        <w:spacing w:line="480" w:lineRule="auto"/>
        <w:outlineLvl w:val="1"/>
        <w:rPr>
          <w:b/>
          <w:bCs/>
          <w:caps/>
          <w:sz w:val="24"/>
          <w:szCs w:val="24"/>
          <w:u w:val="single"/>
        </w:rPr>
      </w:pPr>
      <w:bookmarkStart w:id="38" w:name="_Toc63936858"/>
      <w:bookmarkStart w:id="39" w:name="_Toc85028726"/>
      <w:proofErr w:type="spellStart"/>
      <w:r w:rsidRPr="003C6D0D">
        <w:rPr>
          <w:b/>
          <w:bCs/>
          <w:caps/>
          <w:sz w:val="24"/>
          <w:szCs w:val="24"/>
          <w:u w:val="single"/>
        </w:rPr>
        <w:t>II.</w:t>
      </w:r>
      <w:r>
        <w:rPr>
          <w:b/>
          <w:bCs/>
          <w:caps/>
          <w:sz w:val="24"/>
          <w:szCs w:val="24"/>
          <w:u w:val="single"/>
        </w:rPr>
        <w:t>B</w:t>
      </w:r>
      <w:proofErr w:type="spellEnd"/>
      <w:r w:rsidRPr="003C6D0D">
        <w:rPr>
          <w:b/>
          <w:bCs/>
          <w:caps/>
          <w:sz w:val="24"/>
          <w:szCs w:val="24"/>
          <w:u w:val="single"/>
        </w:rPr>
        <w:t xml:space="preserve">.  </w:t>
      </w:r>
      <w:r w:rsidRPr="003C6D0D">
        <w:rPr>
          <w:b/>
          <w:bCs/>
          <w:sz w:val="24"/>
          <w:szCs w:val="24"/>
          <w:u w:val="single"/>
        </w:rPr>
        <w:t>Embedded Cost of Debt</w:t>
      </w:r>
      <w:bookmarkEnd w:id="38"/>
      <w:bookmarkEnd w:id="39"/>
      <w:r w:rsidRPr="003C6D0D">
        <w:rPr>
          <w:b/>
          <w:bCs/>
          <w:sz w:val="24"/>
          <w:szCs w:val="24"/>
          <w:u w:val="single"/>
        </w:rPr>
        <w:t xml:space="preserve"> </w:t>
      </w:r>
    </w:p>
    <w:p w14:paraId="09EEE117" w14:textId="77777777" w:rsidR="00D54B54" w:rsidRPr="002C207B" w:rsidRDefault="00D54B54" w:rsidP="00D54B54">
      <w:pPr>
        <w:spacing w:line="480" w:lineRule="auto"/>
        <w:ind w:left="720" w:hanging="720"/>
        <w:jc w:val="both"/>
        <w:rPr>
          <w:rFonts w:cs="Arial"/>
          <w:b/>
          <w:caps/>
          <w:szCs w:val="22"/>
        </w:rPr>
      </w:pPr>
      <w:r w:rsidRPr="002C207B">
        <w:rPr>
          <w:rFonts w:cs="Arial"/>
          <w:b/>
          <w:caps/>
          <w:szCs w:val="22"/>
        </w:rPr>
        <w:t>Q</w:t>
      </w:r>
      <w:r w:rsidRPr="002C207B">
        <w:rPr>
          <w:rFonts w:cs="Arial"/>
          <w:b/>
          <w:caps/>
          <w:szCs w:val="22"/>
        </w:rPr>
        <w:tab/>
        <w:t xml:space="preserve">WHAT ARE </w:t>
      </w:r>
      <w:proofErr w:type="spellStart"/>
      <w:r>
        <w:rPr>
          <w:rFonts w:cs="Arial"/>
          <w:b/>
          <w:caps/>
          <w:szCs w:val="22"/>
        </w:rPr>
        <w:t>EPE’</w:t>
      </w:r>
      <w:r w:rsidRPr="002C207B">
        <w:rPr>
          <w:rFonts w:cs="Arial"/>
          <w:b/>
          <w:caps/>
          <w:szCs w:val="22"/>
        </w:rPr>
        <w:t>S</w:t>
      </w:r>
      <w:proofErr w:type="spellEnd"/>
      <w:r w:rsidRPr="002C207B">
        <w:rPr>
          <w:rFonts w:cs="Arial"/>
          <w:b/>
          <w:caps/>
          <w:szCs w:val="22"/>
        </w:rPr>
        <w:t xml:space="preserve"> FORECASTED AVERAGE COSTS OF LONG-TERM DEBT? </w:t>
      </w:r>
    </w:p>
    <w:p w14:paraId="2C3DD80B" w14:textId="77777777" w:rsidR="00D54B54" w:rsidRPr="002C207B" w:rsidRDefault="00D54B54" w:rsidP="00D54B54">
      <w:pPr>
        <w:spacing w:line="480" w:lineRule="auto"/>
        <w:ind w:left="720" w:hanging="720"/>
        <w:jc w:val="both"/>
        <w:rPr>
          <w:rFonts w:cs="Arial"/>
          <w:bCs/>
          <w:szCs w:val="22"/>
        </w:rPr>
      </w:pPr>
      <w:r w:rsidRPr="002C207B">
        <w:rPr>
          <w:rFonts w:cs="Arial"/>
          <w:bCs/>
          <w:szCs w:val="22"/>
        </w:rPr>
        <w:t>A</w:t>
      </w:r>
      <w:r w:rsidRPr="002C207B">
        <w:rPr>
          <w:rFonts w:cs="Arial"/>
          <w:bCs/>
          <w:szCs w:val="22"/>
        </w:rPr>
        <w:tab/>
      </w:r>
      <w:proofErr w:type="spellStart"/>
      <w:r>
        <w:rPr>
          <w:rFonts w:cs="Arial"/>
          <w:bCs/>
          <w:szCs w:val="22"/>
        </w:rPr>
        <w:t>EPE’</w:t>
      </w:r>
      <w:r w:rsidRPr="002C207B">
        <w:rPr>
          <w:rFonts w:cs="Arial"/>
          <w:bCs/>
          <w:szCs w:val="22"/>
        </w:rPr>
        <w:t>s</w:t>
      </w:r>
      <w:proofErr w:type="spellEnd"/>
      <w:r w:rsidRPr="002C207B">
        <w:rPr>
          <w:rFonts w:cs="Arial"/>
          <w:bCs/>
          <w:szCs w:val="22"/>
        </w:rPr>
        <w:t xml:space="preserve"> cost of embedded long-term debt is </w:t>
      </w:r>
      <w:r>
        <w:rPr>
          <w:rFonts w:cs="Arial"/>
          <w:bCs/>
          <w:szCs w:val="22"/>
        </w:rPr>
        <w:t>5.576</w:t>
      </w:r>
      <w:r w:rsidRPr="002C207B">
        <w:rPr>
          <w:rFonts w:cs="Arial"/>
          <w:bCs/>
          <w:szCs w:val="22"/>
        </w:rPr>
        <w:t xml:space="preserve">% as developed on Schedule </w:t>
      </w:r>
      <w:r>
        <w:rPr>
          <w:rFonts w:cs="Arial"/>
          <w:bCs/>
          <w:szCs w:val="22"/>
        </w:rPr>
        <w:t xml:space="preserve">K-3 </w:t>
      </w:r>
      <w:r w:rsidRPr="002C207B">
        <w:rPr>
          <w:rFonts w:cs="Arial"/>
          <w:bCs/>
          <w:szCs w:val="22"/>
        </w:rPr>
        <w:t>and dis</w:t>
      </w:r>
      <w:r>
        <w:rPr>
          <w:rFonts w:cs="Arial"/>
          <w:bCs/>
          <w:szCs w:val="22"/>
        </w:rPr>
        <w:t xml:space="preserve">cussed in the direct testimony of </w:t>
      </w:r>
      <w:r w:rsidRPr="002C207B">
        <w:rPr>
          <w:rFonts w:cs="Arial"/>
          <w:bCs/>
          <w:szCs w:val="22"/>
        </w:rPr>
        <w:t xml:space="preserve">Ms. </w:t>
      </w:r>
      <w:proofErr w:type="spellStart"/>
      <w:r>
        <w:rPr>
          <w:rFonts w:cs="Arial"/>
          <w:bCs/>
          <w:szCs w:val="22"/>
        </w:rPr>
        <w:t>Budtke</w:t>
      </w:r>
      <w:proofErr w:type="spellEnd"/>
      <w:r w:rsidRPr="002C207B">
        <w:rPr>
          <w:rFonts w:cs="Arial"/>
          <w:bCs/>
          <w:szCs w:val="22"/>
        </w:rPr>
        <w:t>.</w:t>
      </w:r>
    </w:p>
    <w:p w14:paraId="5B95E9AC" w14:textId="77777777" w:rsidR="00D54B54" w:rsidRPr="002C207B" w:rsidRDefault="00D54B54" w:rsidP="00D54B54">
      <w:pPr>
        <w:suppressLineNumbers/>
        <w:spacing w:line="480" w:lineRule="auto"/>
        <w:ind w:left="720" w:hanging="720"/>
        <w:jc w:val="both"/>
        <w:rPr>
          <w:rFonts w:cs="Arial"/>
          <w:caps/>
          <w:szCs w:val="22"/>
        </w:rPr>
      </w:pPr>
    </w:p>
    <w:p w14:paraId="213256DC" w14:textId="77777777" w:rsidR="00D54B54" w:rsidRPr="002C207B" w:rsidRDefault="00D54B54" w:rsidP="00D54B54">
      <w:pPr>
        <w:keepNext/>
        <w:keepLines/>
        <w:spacing w:line="480" w:lineRule="auto"/>
        <w:jc w:val="center"/>
        <w:outlineLvl w:val="0"/>
        <w:rPr>
          <w:b/>
          <w:szCs w:val="24"/>
          <w:u w:val="single"/>
        </w:rPr>
      </w:pPr>
      <w:bookmarkStart w:id="40" w:name="_Toc63936859"/>
      <w:bookmarkStart w:id="41" w:name="_Toc85028727"/>
      <w:r>
        <w:rPr>
          <w:b/>
          <w:szCs w:val="24"/>
          <w:u w:val="single"/>
        </w:rPr>
        <w:lastRenderedPageBreak/>
        <w:t>I</w:t>
      </w:r>
      <w:r w:rsidRPr="002C207B">
        <w:rPr>
          <w:b/>
          <w:szCs w:val="24"/>
          <w:u w:val="single"/>
        </w:rPr>
        <w:t xml:space="preserve">II.  </w:t>
      </w:r>
      <w:r>
        <w:rPr>
          <w:b/>
          <w:szCs w:val="24"/>
          <w:u w:val="single"/>
        </w:rPr>
        <w:t xml:space="preserve">MARKET </w:t>
      </w:r>
      <w:r w:rsidRPr="002C207B">
        <w:rPr>
          <w:b/>
          <w:szCs w:val="24"/>
          <w:u w:val="single"/>
        </w:rPr>
        <w:t>RETURN ON EQUITY</w:t>
      </w:r>
      <w:bookmarkEnd w:id="40"/>
      <w:bookmarkEnd w:id="41"/>
    </w:p>
    <w:p w14:paraId="233AF490" w14:textId="77777777" w:rsidR="00D54B54" w:rsidRPr="002C207B" w:rsidRDefault="00D54B54" w:rsidP="00D54B54">
      <w:pPr>
        <w:keepNext/>
        <w:keepLines/>
        <w:spacing w:line="480" w:lineRule="auto"/>
        <w:ind w:left="720" w:hanging="720"/>
        <w:jc w:val="both"/>
        <w:rPr>
          <w:rFonts w:cs="Arial"/>
          <w:b/>
          <w:caps/>
          <w:szCs w:val="22"/>
        </w:rPr>
      </w:pPr>
      <w:r w:rsidRPr="002C207B">
        <w:rPr>
          <w:rFonts w:cs="Arial"/>
          <w:b/>
          <w:caps/>
          <w:szCs w:val="22"/>
        </w:rPr>
        <w:t>Q</w:t>
      </w:r>
      <w:r w:rsidRPr="002C207B">
        <w:rPr>
          <w:rFonts w:cs="Arial"/>
          <w:b/>
          <w:caps/>
          <w:szCs w:val="22"/>
        </w:rPr>
        <w:tab/>
        <w:t xml:space="preserve">PLEASE DESCRIBE WHAT IS MEANT BY A </w:t>
      </w:r>
      <w:r>
        <w:rPr>
          <w:rFonts w:cs="Arial"/>
          <w:b/>
          <w:caps/>
          <w:szCs w:val="22"/>
        </w:rPr>
        <w:t>“</w:t>
      </w:r>
      <w:r w:rsidRPr="002C207B">
        <w:rPr>
          <w:rFonts w:cs="Arial"/>
          <w:b/>
          <w:caps/>
          <w:szCs w:val="22"/>
        </w:rPr>
        <w:t>UTILITY</w:t>
      </w:r>
      <w:r>
        <w:rPr>
          <w:rFonts w:cs="Arial"/>
          <w:b/>
          <w:caps/>
          <w:szCs w:val="22"/>
        </w:rPr>
        <w:t>’</w:t>
      </w:r>
      <w:r w:rsidRPr="002C207B">
        <w:rPr>
          <w:rFonts w:cs="Arial"/>
          <w:b/>
          <w:caps/>
          <w:szCs w:val="22"/>
        </w:rPr>
        <w:t>S COST OF COMMON EQUITY.</w:t>
      </w:r>
      <w:r>
        <w:rPr>
          <w:rFonts w:cs="Arial"/>
          <w:b/>
          <w:caps/>
          <w:szCs w:val="22"/>
        </w:rPr>
        <w:t>”</w:t>
      </w:r>
    </w:p>
    <w:p w14:paraId="27C50C75" w14:textId="77777777" w:rsidR="00D54B54" w:rsidRPr="002C207B" w:rsidRDefault="00D54B54" w:rsidP="00D54B54">
      <w:pPr>
        <w:spacing w:line="480" w:lineRule="auto"/>
        <w:ind w:left="720" w:hanging="720"/>
        <w:jc w:val="both"/>
        <w:rPr>
          <w:rFonts w:cs="Arial"/>
          <w:szCs w:val="22"/>
        </w:rPr>
      </w:pPr>
      <w:r w:rsidRPr="002C207B">
        <w:rPr>
          <w:rFonts w:cs="Arial"/>
          <w:szCs w:val="22"/>
        </w:rPr>
        <w:t>A</w:t>
      </w:r>
      <w:r w:rsidRPr="002C207B">
        <w:rPr>
          <w:rFonts w:cs="Arial"/>
          <w:szCs w:val="22"/>
        </w:rPr>
        <w:tab/>
      </w:r>
      <w:proofErr w:type="spellStart"/>
      <w:r w:rsidRPr="002C207B">
        <w:rPr>
          <w:rFonts w:cs="Arial"/>
          <w:szCs w:val="22"/>
        </w:rPr>
        <w:t>A</w:t>
      </w:r>
      <w:proofErr w:type="spellEnd"/>
      <w:r w:rsidRPr="002C207B">
        <w:rPr>
          <w:rFonts w:cs="Arial"/>
          <w:szCs w:val="22"/>
        </w:rPr>
        <w:t xml:space="preserve"> utility</w:t>
      </w:r>
      <w:r>
        <w:rPr>
          <w:rFonts w:cs="Arial"/>
          <w:szCs w:val="22"/>
        </w:rPr>
        <w:t>’</w:t>
      </w:r>
      <w:r w:rsidRPr="002C207B">
        <w:rPr>
          <w:rFonts w:cs="Arial"/>
          <w:szCs w:val="22"/>
        </w:rPr>
        <w:t>s cost of common equity is the expected return that investors require on an investment in the utility.  Investors expect to earn their required return from receiving dividends and through stock price appreciation.</w:t>
      </w:r>
    </w:p>
    <w:p w14:paraId="4D7BBDAB" w14:textId="77777777" w:rsidR="00D54B54" w:rsidRPr="002C207B" w:rsidRDefault="00D54B54" w:rsidP="00D54B54">
      <w:pPr>
        <w:keepNext/>
        <w:keepLines/>
        <w:suppressLineNumbers/>
        <w:spacing w:line="480" w:lineRule="auto"/>
        <w:ind w:left="720" w:hanging="720"/>
        <w:jc w:val="both"/>
        <w:rPr>
          <w:rFonts w:cs="Arial"/>
          <w:caps/>
          <w:szCs w:val="22"/>
        </w:rPr>
      </w:pPr>
    </w:p>
    <w:p w14:paraId="1F2828CF" w14:textId="77777777" w:rsidR="00D54B54" w:rsidRPr="002C207B" w:rsidRDefault="00D54B54" w:rsidP="00D54B54">
      <w:pPr>
        <w:keepNext/>
        <w:spacing w:line="480" w:lineRule="auto"/>
        <w:ind w:left="720" w:hanging="720"/>
        <w:jc w:val="both"/>
        <w:rPr>
          <w:rFonts w:cs="Arial"/>
          <w:b/>
          <w:caps/>
          <w:szCs w:val="22"/>
        </w:rPr>
      </w:pPr>
      <w:r w:rsidRPr="002C207B">
        <w:rPr>
          <w:rFonts w:cs="Arial"/>
          <w:b/>
          <w:caps/>
          <w:szCs w:val="22"/>
        </w:rPr>
        <w:t>Q</w:t>
      </w:r>
      <w:r w:rsidRPr="002C207B">
        <w:rPr>
          <w:rFonts w:cs="Arial"/>
          <w:b/>
          <w:caps/>
          <w:szCs w:val="22"/>
        </w:rPr>
        <w:tab/>
        <w:t>PLEASE DESCRIBE THE FRAMEWORK FOR DETERMINING A REGULATED UTILITY</w:t>
      </w:r>
      <w:r>
        <w:rPr>
          <w:rFonts w:cs="Arial"/>
          <w:b/>
          <w:caps/>
          <w:szCs w:val="22"/>
        </w:rPr>
        <w:t>’</w:t>
      </w:r>
      <w:r w:rsidRPr="002C207B">
        <w:rPr>
          <w:rFonts w:cs="Arial"/>
          <w:b/>
          <w:caps/>
          <w:szCs w:val="22"/>
        </w:rPr>
        <w:t>S COST OF COMMON EQUITY.</w:t>
      </w:r>
    </w:p>
    <w:p w14:paraId="62B23EF3" w14:textId="77777777" w:rsidR="00D54B54" w:rsidRPr="002C207B" w:rsidRDefault="00D54B54" w:rsidP="00D54B54">
      <w:pPr>
        <w:spacing w:line="480" w:lineRule="auto"/>
        <w:ind w:left="720" w:hanging="720"/>
        <w:jc w:val="both"/>
        <w:rPr>
          <w:rFonts w:cs="Arial"/>
          <w:szCs w:val="22"/>
        </w:rPr>
      </w:pPr>
      <w:r w:rsidRPr="002C207B">
        <w:rPr>
          <w:rFonts w:cs="Arial"/>
          <w:szCs w:val="22"/>
        </w:rPr>
        <w:t>A</w:t>
      </w:r>
      <w:r w:rsidRPr="002C207B">
        <w:rPr>
          <w:rFonts w:cs="Arial"/>
          <w:szCs w:val="22"/>
        </w:rPr>
        <w:tab/>
        <w:t xml:space="preserve">In general, determining a fair cost of common equity for a regulated utility has been framed by two hallmark decisions of the U.S. Supreme Court:  </w:t>
      </w:r>
      <w:r w:rsidRPr="002C207B">
        <w:rPr>
          <w:rFonts w:cs="Arial"/>
          <w:szCs w:val="22"/>
          <w:u w:val="single"/>
        </w:rPr>
        <w:t xml:space="preserve">Bluefield Water Works &amp; Improvement Co. v. Pub. Serv. </w:t>
      </w:r>
      <w:proofErr w:type="spellStart"/>
      <w:r w:rsidRPr="002C207B">
        <w:rPr>
          <w:rFonts w:cs="Arial"/>
          <w:szCs w:val="22"/>
          <w:u w:val="single"/>
        </w:rPr>
        <w:t>Comm</w:t>
      </w:r>
      <w:r>
        <w:rPr>
          <w:rFonts w:cs="Arial"/>
          <w:szCs w:val="22"/>
          <w:u w:val="single"/>
        </w:rPr>
        <w:t>’</w:t>
      </w:r>
      <w:r w:rsidRPr="002C207B">
        <w:rPr>
          <w:rFonts w:cs="Arial"/>
          <w:szCs w:val="22"/>
          <w:u w:val="single"/>
        </w:rPr>
        <w:t>n</w:t>
      </w:r>
      <w:proofErr w:type="spellEnd"/>
      <w:r w:rsidRPr="002C207B">
        <w:rPr>
          <w:rFonts w:cs="Arial"/>
          <w:szCs w:val="22"/>
          <w:u w:val="single"/>
        </w:rPr>
        <w:t xml:space="preserve"> of W. Va.</w:t>
      </w:r>
      <w:r w:rsidRPr="002C207B">
        <w:rPr>
          <w:rFonts w:cs="Arial"/>
          <w:szCs w:val="22"/>
        </w:rPr>
        <w:t>, 262 U.S. 679 (1923)</w:t>
      </w:r>
      <w:r w:rsidRPr="002C207B">
        <w:rPr>
          <w:rFonts w:cs="Arial"/>
          <w:i/>
          <w:szCs w:val="22"/>
        </w:rPr>
        <w:t xml:space="preserve"> </w:t>
      </w:r>
      <w:r w:rsidRPr="002C207B">
        <w:rPr>
          <w:rFonts w:cs="Arial"/>
          <w:szCs w:val="22"/>
        </w:rPr>
        <w:t>and</w:t>
      </w:r>
      <w:r w:rsidRPr="002C207B">
        <w:rPr>
          <w:rFonts w:cs="Arial"/>
          <w:i/>
          <w:szCs w:val="22"/>
        </w:rPr>
        <w:t xml:space="preserve"> </w:t>
      </w:r>
      <w:r w:rsidRPr="002C207B">
        <w:rPr>
          <w:rFonts w:cs="Arial"/>
          <w:szCs w:val="22"/>
          <w:u w:val="single"/>
        </w:rPr>
        <w:t xml:space="preserve">Fed. Power </w:t>
      </w:r>
      <w:proofErr w:type="spellStart"/>
      <w:r w:rsidRPr="002C207B">
        <w:rPr>
          <w:rFonts w:cs="Arial"/>
          <w:szCs w:val="22"/>
          <w:u w:val="single"/>
        </w:rPr>
        <w:t>Comm</w:t>
      </w:r>
      <w:r>
        <w:rPr>
          <w:rFonts w:cs="Arial"/>
          <w:szCs w:val="22"/>
          <w:u w:val="single"/>
        </w:rPr>
        <w:t>’</w:t>
      </w:r>
      <w:r w:rsidRPr="002C207B">
        <w:rPr>
          <w:rFonts w:cs="Arial"/>
          <w:szCs w:val="22"/>
          <w:u w:val="single"/>
        </w:rPr>
        <w:t>n</w:t>
      </w:r>
      <w:proofErr w:type="spellEnd"/>
      <w:r w:rsidRPr="002C207B">
        <w:rPr>
          <w:rFonts w:cs="Arial"/>
          <w:szCs w:val="22"/>
          <w:u w:val="single"/>
        </w:rPr>
        <w:t xml:space="preserve"> v. Hope Natural Gas Co.</w:t>
      </w:r>
      <w:r w:rsidRPr="002C207B">
        <w:rPr>
          <w:rFonts w:cs="Arial"/>
          <w:szCs w:val="22"/>
        </w:rPr>
        <w:t>, 320 U.S. 591 (1944).  In these decisions, the Supreme Court found that just compensation depends on many circumstances and must be determined by fair and enlightened judgments based on relevant facts.  The Court found that a utility is entitled to such rates as were permitted  to earn a return on a property devoted to the convenience of the public that is generally consistent with the same returns available in other investments of corresponding risk.  The Court continued that the utility has no constitutional rights to profits such as those realized or anticipated in highly profitable enterprises or speculative ventures, and defined the ratepayer/investor balance as follows:</w:t>
      </w:r>
    </w:p>
    <w:p w14:paraId="6B25E17E" w14:textId="77777777" w:rsidR="00D54B54" w:rsidRPr="002C207B" w:rsidRDefault="00D54B54" w:rsidP="00D54B54">
      <w:pPr>
        <w:autoSpaceDE w:val="0"/>
        <w:autoSpaceDN w:val="0"/>
        <w:adjustRightInd w:val="0"/>
        <w:spacing w:after="240"/>
        <w:ind w:left="1440" w:right="720"/>
        <w:jc w:val="both"/>
        <w:rPr>
          <w:rFonts w:cs="Arial"/>
          <w:szCs w:val="22"/>
        </w:rPr>
      </w:pPr>
      <w:r w:rsidRPr="002C207B">
        <w:rPr>
          <w:rFonts w:cs="Arial"/>
          <w:szCs w:val="22"/>
        </w:rPr>
        <w:t xml:space="preserve">The return should be reasonably sufficient to assure confidence in the </w:t>
      </w:r>
      <w:r w:rsidRPr="002C207B">
        <w:rPr>
          <w:rFonts w:cs="Arial"/>
          <w:szCs w:val="22"/>
          <w:u w:val="single"/>
        </w:rPr>
        <w:t>financial soundness</w:t>
      </w:r>
      <w:r w:rsidRPr="002C207B">
        <w:rPr>
          <w:rFonts w:cs="Arial"/>
          <w:szCs w:val="22"/>
        </w:rPr>
        <w:t xml:space="preserve"> of the utility and should be adequate, under </w:t>
      </w:r>
      <w:r w:rsidRPr="002C207B">
        <w:rPr>
          <w:rFonts w:cs="Arial"/>
          <w:szCs w:val="22"/>
          <w:u w:val="single"/>
        </w:rPr>
        <w:t>efficient and economical management</w:t>
      </w:r>
      <w:r w:rsidRPr="002C207B">
        <w:rPr>
          <w:rFonts w:cs="Arial"/>
          <w:szCs w:val="22"/>
        </w:rPr>
        <w:t xml:space="preserve">, to maintain and </w:t>
      </w:r>
      <w:r w:rsidRPr="002C207B">
        <w:rPr>
          <w:rFonts w:cs="Arial"/>
          <w:szCs w:val="22"/>
          <w:u w:val="single"/>
        </w:rPr>
        <w:t>support its credit</w:t>
      </w:r>
      <w:r w:rsidRPr="002C207B">
        <w:rPr>
          <w:rFonts w:cs="Arial"/>
          <w:szCs w:val="22"/>
        </w:rPr>
        <w:t xml:space="preserve"> and </w:t>
      </w:r>
      <w:r w:rsidRPr="002C207B">
        <w:rPr>
          <w:rFonts w:cs="Arial"/>
          <w:szCs w:val="22"/>
          <w:u w:val="single"/>
        </w:rPr>
        <w:t>enable it to raise the money</w:t>
      </w:r>
      <w:r w:rsidRPr="002C207B">
        <w:rPr>
          <w:rFonts w:cs="Arial"/>
          <w:szCs w:val="22"/>
        </w:rPr>
        <w:t xml:space="preserve"> necessary for the proper discharge of its public duties.</w:t>
      </w:r>
      <w:r>
        <w:rPr>
          <w:rFonts w:cs="Arial"/>
          <w:szCs w:val="22"/>
          <w:vertAlign w:val="superscript"/>
        </w:rPr>
        <w:footnoteReference w:id="11"/>
      </w:r>
    </w:p>
    <w:p w14:paraId="27488A39" w14:textId="77777777" w:rsidR="00D54B54" w:rsidRDefault="00D54B54" w:rsidP="00D54B54">
      <w:pPr>
        <w:autoSpaceDE w:val="0"/>
        <w:autoSpaceDN w:val="0"/>
        <w:spacing w:line="480" w:lineRule="auto"/>
        <w:ind w:left="720" w:hanging="720"/>
        <w:jc w:val="both"/>
        <w:rPr>
          <w:rFonts w:cs="Arial"/>
          <w:szCs w:val="22"/>
        </w:rPr>
      </w:pPr>
      <w:r w:rsidRPr="002C207B">
        <w:rPr>
          <w:rFonts w:cs="Arial"/>
          <w:szCs w:val="22"/>
        </w:rPr>
        <w:lastRenderedPageBreak/>
        <w:tab/>
      </w:r>
      <w:r w:rsidRPr="002C207B">
        <w:rPr>
          <w:rFonts w:cs="Arial"/>
          <w:szCs w:val="22"/>
        </w:rPr>
        <w:tab/>
        <w:t>As such, a fair rate of return is based on the expectation that the utility</w:t>
      </w:r>
      <w:r>
        <w:rPr>
          <w:rFonts w:cs="Arial"/>
          <w:szCs w:val="22"/>
        </w:rPr>
        <w:t>’s</w:t>
      </w:r>
      <w:r w:rsidRPr="002C207B">
        <w:rPr>
          <w:rFonts w:cs="Arial"/>
          <w:szCs w:val="22"/>
        </w:rPr>
        <w:t xml:space="preserve"> costs reflect efficient and economical management, and the return will support its credit standing and access to capital, </w:t>
      </w:r>
      <w:r>
        <w:rPr>
          <w:rFonts w:cs="Arial"/>
          <w:szCs w:val="22"/>
        </w:rPr>
        <w:t>without being</w:t>
      </w:r>
      <w:r w:rsidRPr="002C207B">
        <w:rPr>
          <w:rFonts w:cs="Arial"/>
          <w:szCs w:val="22"/>
        </w:rPr>
        <w:t xml:space="preserve"> in excess of this level.  From these standards, rates to customers will be just and reasonable, and </w:t>
      </w:r>
      <w:r>
        <w:rPr>
          <w:rFonts w:cs="Arial"/>
          <w:szCs w:val="22"/>
        </w:rPr>
        <w:t xml:space="preserve">under economic management, </w:t>
      </w:r>
      <w:r w:rsidRPr="002C207B">
        <w:rPr>
          <w:rFonts w:cs="Arial"/>
          <w:szCs w:val="22"/>
        </w:rPr>
        <w:t>compensation to the utility will be fair and support financial integrity and credit standing.</w:t>
      </w:r>
    </w:p>
    <w:p w14:paraId="24EB7278" w14:textId="77777777" w:rsidR="00D54B54" w:rsidRPr="002C207B" w:rsidRDefault="00D54B54" w:rsidP="00D54B54">
      <w:pPr>
        <w:keepNext/>
        <w:keepLines/>
        <w:suppressLineNumbers/>
        <w:spacing w:line="480" w:lineRule="auto"/>
        <w:jc w:val="both"/>
        <w:rPr>
          <w:rFonts w:cs="Arial"/>
          <w:caps/>
          <w:szCs w:val="22"/>
        </w:rPr>
      </w:pPr>
    </w:p>
    <w:p w14:paraId="77931D30" w14:textId="77777777" w:rsidR="00D54B54" w:rsidRPr="007114B7" w:rsidRDefault="00D54B54" w:rsidP="00D54B54">
      <w:pPr>
        <w:pStyle w:val="Heading2"/>
      </w:pPr>
      <w:bookmarkStart w:id="42" w:name="_Toc83990835"/>
      <w:bookmarkStart w:id="43" w:name="_Toc84318879"/>
      <w:bookmarkStart w:id="44" w:name="_Toc85028728"/>
      <w:proofErr w:type="spellStart"/>
      <w:r w:rsidRPr="00CC2838">
        <w:rPr>
          <w:rFonts w:cs="Arial"/>
          <w:caps/>
        </w:rPr>
        <w:t>II</w:t>
      </w:r>
      <w:r>
        <w:rPr>
          <w:rFonts w:cs="Arial"/>
          <w:caps/>
        </w:rPr>
        <w:t>I</w:t>
      </w:r>
      <w:r w:rsidRPr="00CC2838">
        <w:rPr>
          <w:rFonts w:cs="Arial"/>
        </w:rPr>
        <w:t>.A</w:t>
      </w:r>
      <w:proofErr w:type="spellEnd"/>
      <w:r w:rsidRPr="00CC2838">
        <w:rPr>
          <w:rFonts w:cs="Arial"/>
        </w:rPr>
        <w:t>.</w:t>
      </w:r>
      <w:r w:rsidRPr="007114B7">
        <w:t xml:space="preserve">  Risk Proxy Group</w:t>
      </w:r>
      <w:bookmarkEnd w:id="42"/>
      <w:bookmarkEnd w:id="43"/>
      <w:bookmarkEnd w:id="44"/>
    </w:p>
    <w:p w14:paraId="61D3B219" w14:textId="77777777" w:rsidR="00D54B54" w:rsidRPr="007114B7" w:rsidRDefault="00D54B54" w:rsidP="00657756">
      <w:pPr>
        <w:keepNext/>
        <w:spacing w:line="480" w:lineRule="auto"/>
        <w:ind w:left="720" w:hanging="720"/>
        <w:jc w:val="both"/>
        <w:rPr>
          <w:b/>
          <w:caps/>
        </w:rPr>
      </w:pPr>
      <w:r w:rsidRPr="007114B7">
        <w:rPr>
          <w:b/>
          <w:caps/>
        </w:rPr>
        <w:t>Q</w:t>
      </w:r>
      <w:r w:rsidRPr="007114B7">
        <w:rPr>
          <w:b/>
          <w:caps/>
        </w:rPr>
        <w:tab/>
        <w:t xml:space="preserve">PLEASE DESCRIBE HOW YOU </w:t>
      </w:r>
      <w:r w:rsidRPr="007114B7">
        <w:rPr>
          <w:b/>
          <w:bCs/>
          <w:caps/>
        </w:rPr>
        <w:t>IDENTIFIED</w:t>
      </w:r>
      <w:r w:rsidRPr="007114B7">
        <w:rPr>
          <w:b/>
          <w:caps/>
        </w:rPr>
        <w:t xml:space="preserve"> A PROXY UTILITY GROUP THAT COULD BE USED TO ESTIMATE </w:t>
      </w:r>
      <w:proofErr w:type="spellStart"/>
      <w:r>
        <w:rPr>
          <w:b/>
          <w:caps/>
        </w:rPr>
        <w:t>EPE’</w:t>
      </w:r>
      <w:r w:rsidRPr="007114B7">
        <w:rPr>
          <w:b/>
          <w:caps/>
        </w:rPr>
        <w:t>S</w:t>
      </w:r>
      <w:proofErr w:type="spellEnd"/>
      <w:r w:rsidRPr="007114B7">
        <w:rPr>
          <w:b/>
          <w:caps/>
        </w:rPr>
        <w:t xml:space="preserve"> CURRENT MARKET COST OF EQUITY.</w:t>
      </w:r>
    </w:p>
    <w:p w14:paraId="11644612" w14:textId="7D5315A7" w:rsidR="00D54B54" w:rsidRDefault="00D54B54" w:rsidP="00D54B54">
      <w:pPr>
        <w:spacing w:line="480" w:lineRule="auto"/>
        <w:ind w:left="720" w:hanging="720"/>
        <w:jc w:val="both"/>
      </w:pPr>
      <w:r w:rsidRPr="007114B7">
        <w:t>A</w:t>
      </w:r>
      <w:r w:rsidRPr="007114B7">
        <w:tab/>
        <w:t xml:space="preserve">I relied on the same proxy group developed by </w:t>
      </w:r>
      <w:proofErr w:type="spellStart"/>
      <w:r>
        <w:rPr>
          <w:rFonts w:eastAsia="Calibri"/>
        </w:rPr>
        <w:t>EPE</w:t>
      </w:r>
      <w:proofErr w:type="spellEnd"/>
      <w:r>
        <w:t xml:space="preserve"> witness M</w:t>
      </w:r>
      <w:r w:rsidRPr="007114B7">
        <w:t xml:space="preserve">s. </w:t>
      </w:r>
      <w:r>
        <w:t>Nelson with one exception.  I excluded Duke Energy Corporation because at the beginning of the year the company reached an agreement to sell one of its major regulated subsidiaries – Duke Indiana</w:t>
      </w:r>
      <w:r w:rsidRPr="007114B7">
        <w:t xml:space="preserve">. </w:t>
      </w:r>
    </w:p>
    <w:p w14:paraId="77729FB3" w14:textId="7CE50AA1" w:rsidR="00866C3C" w:rsidRPr="007114B7" w:rsidRDefault="00866C3C" w:rsidP="00D54B54">
      <w:pPr>
        <w:spacing w:line="480" w:lineRule="auto"/>
        <w:ind w:left="720" w:hanging="720"/>
        <w:jc w:val="both"/>
      </w:pPr>
      <w:r>
        <w:tab/>
      </w:r>
      <w:r>
        <w:tab/>
        <w:t>Excluding companies that are involved in major acquisition or merger activity is appropriate because after these merger and acquisition (“M&amp;A”) activities are announced the market valuation of the securities may n</w:t>
      </w:r>
      <w:r w:rsidR="000032FC">
        <w:t>ot accurately reflect the stand</w:t>
      </w:r>
      <w:r w:rsidR="000032FC">
        <w:noBreakHyphen/>
      </w:r>
      <w:r>
        <w:t xml:space="preserve">alone valuation of the company, but rather may anticipate enhanced valuation from the proposed M&amp;A action.  Therefore, removing them from the proxy group is necessary because the resulting DCF, </w:t>
      </w:r>
      <w:proofErr w:type="spellStart"/>
      <w:r>
        <w:t>CAPM</w:t>
      </w:r>
      <w:proofErr w:type="spellEnd"/>
      <w:r>
        <w:t xml:space="preserve"> and Risk Premium analyses on these specific companies can be distorted and/or would simply be unreliable.</w:t>
      </w:r>
    </w:p>
    <w:p w14:paraId="2953A0F1" w14:textId="77777777" w:rsidR="00866C3C" w:rsidRPr="007114B7" w:rsidRDefault="00866C3C" w:rsidP="00866C3C">
      <w:pPr>
        <w:suppressLineNumbers/>
        <w:spacing w:line="480" w:lineRule="auto"/>
        <w:jc w:val="both"/>
        <w:rPr>
          <w:color w:val="000000"/>
        </w:rPr>
      </w:pPr>
    </w:p>
    <w:p w14:paraId="2496B395" w14:textId="77777777" w:rsidR="00D54B54" w:rsidRPr="007114B7" w:rsidRDefault="00D54B54" w:rsidP="0033468E">
      <w:pPr>
        <w:keepNext/>
        <w:keepLines/>
        <w:spacing w:line="480" w:lineRule="auto"/>
        <w:ind w:left="720" w:hanging="720"/>
        <w:jc w:val="both"/>
        <w:rPr>
          <w:b/>
          <w:caps/>
        </w:rPr>
      </w:pPr>
      <w:r w:rsidRPr="007114B7">
        <w:rPr>
          <w:b/>
          <w:caps/>
        </w:rPr>
        <w:lastRenderedPageBreak/>
        <w:t>Q</w:t>
      </w:r>
      <w:r w:rsidRPr="007114B7">
        <w:rPr>
          <w:b/>
          <w:caps/>
        </w:rPr>
        <w:tab/>
        <w:t xml:space="preserve">PLEASE </w:t>
      </w:r>
      <w:r w:rsidRPr="007114B7">
        <w:rPr>
          <w:b/>
          <w:bCs/>
          <w:caps/>
        </w:rPr>
        <w:t>DESCRIBE</w:t>
      </w:r>
      <w:r w:rsidRPr="007114B7">
        <w:rPr>
          <w:b/>
          <w:caps/>
        </w:rPr>
        <w:t xml:space="preserve"> WHY YOU BELIEVE YOUR PROXY GROUP IS REASONABLY COMPARABLE IN INVESTMENT RISK TO </w:t>
      </w:r>
      <w:proofErr w:type="spellStart"/>
      <w:r>
        <w:rPr>
          <w:b/>
          <w:caps/>
        </w:rPr>
        <w:t>EPE</w:t>
      </w:r>
      <w:proofErr w:type="spellEnd"/>
      <w:r w:rsidRPr="007114B7">
        <w:rPr>
          <w:b/>
          <w:caps/>
        </w:rPr>
        <w:t>.</w:t>
      </w:r>
    </w:p>
    <w:p w14:paraId="447412BA" w14:textId="77777777" w:rsidR="00D54B54" w:rsidRPr="007114B7" w:rsidRDefault="00D54B54" w:rsidP="00D54B54">
      <w:pPr>
        <w:spacing w:line="480" w:lineRule="auto"/>
        <w:ind w:left="720" w:hanging="720"/>
        <w:jc w:val="both"/>
      </w:pPr>
      <w:r w:rsidRPr="007114B7">
        <w:t>A</w:t>
      </w:r>
      <w:r w:rsidRPr="007114B7">
        <w:tab/>
        <w:t xml:space="preserve">My proxy group shown in </w:t>
      </w:r>
      <w:r w:rsidRPr="00E92E03">
        <w:t>Exhibit MPG-</w:t>
      </w:r>
      <w:r>
        <w:t xml:space="preserve">3.  </w:t>
      </w:r>
      <w:r w:rsidRPr="007114B7">
        <w:t>The proxy group has an average credit rating fro</w:t>
      </w:r>
      <w:r>
        <w:t>m Moody’s of Baa1, which is</w:t>
      </w:r>
      <w:r w:rsidRPr="007114B7">
        <w:t xml:space="preserve"> a notch </w:t>
      </w:r>
      <w:r>
        <w:t>higher than, but comparable to,</w:t>
      </w:r>
      <w:r w:rsidRPr="007114B7">
        <w:t xml:space="preserve"> </w:t>
      </w:r>
      <w:proofErr w:type="spellStart"/>
      <w:r>
        <w:t>EPE’</w:t>
      </w:r>
      <w:r w:rsidRPr="007114B7">
        <w:t>s</w:t>
      </w:r>
      <w:proofErr w:type="spellEnd"/>
      <w:r w:rsidRPr="007114B7">
        <w:t xml:space="preserve"> </w:t>
      </w:r>
      <w:r>
        <w:t>Moody’s rating of Baa2</w:t>
      </w:r>
      <w:r w:rsidRPr="007114B7">
        <w:t>.</w:t>
      </w:r>
      <w:r w:rsidRPr="007114B7">
        <w:rPr>
          <w:vertAlign w:val="superscript"/>
        </w:rPr>
        <w:footnoteReference w:id="12"/>
      </w:r>
      <w:r w:rsidRPr="007114B7">
        <w:t xml:space="preserve">  </w:t>
      </w:r>
    </w:p>
    <w:p w14:paraId="33FF3ADE" w14:textId="77777777" w:rsidR="00D54B54" w:rsidRPr="007114B7" w:rsidRDefault="00D54B54" w:rsidP="00D54B54">
      <w:pPr>
        <w:spacing w:line="480" w:lineRule="auto"/>
        <w:ind w:left="720" w:hanging="720"/>
        <w:jc w:val="both"/>
      </w:pPr>
      <w:r w:rsidRPr="007114B7">
        <w:tab/>
      </w:r>
      <w:r w:rsidRPr="007114B7">
        <w:tab/>
        <w:t xml:space="preserve">My proxy group has an average common equity ratio of </w:t>
      </w:r>
      <w:r>
        <w:rPr>
          <w:bCs/>
        </w:rPr>
        <w:t>42.7</w:t>
      </w:r>
      <w:r w:rsidRPr="007114B7">
        <w:t xml:space="preserve">% from S&amp;P </w:t>
      </w:r>
      <w:r>
        <w:t>(in</w:t>
      </w:r>
      <w:r w:rsidRPr="007114B7">
        <w:t xml:space="preserve">cluding short-term debt) </w:t>
      </w:r>
      <w:r>
        <w:t xml:space="preserve">and a 46.2% equity ratio </w:t>
      </w:r>
      <w:r w:rsidRPr="007114B7">
        <w:t xml:space="preserve">from </w:t>
      </w:r>
      <w:r w:rsidRPr="007114B7">
        <w:rPr>
          <w:i/>
        </w:rPr>
        <w:t>Value Line</w:t>
      </w:r>
      <w:r>
        <w:rPr>
          <w:i/>
        </w:rPr>
        <w:t xml:space="preserve"> </w:t>
      </w:r>
      <w:r>
        <w:t xml:space="preserve">(excluding short-term debt).  </w:t>
      </w:r>
      <w:proofErr w:type="spellStart"/>
      <w:r>
        <w:t>EPE’s</w:t>
      </w:r>
      <w:proofErr w:type="spellEnd"/>
      <w:r>
        <w:t xml:space="preserve"> long-term debt ratio of 51.0% is less leveraged than that of the proxy group average of 46.2%.</w:t>
      </w:r>
    </w:p>
    <w:p w14:paraId="6182338F" w14:textId="77777777" w:rsidR="00D54B54" w:rsidRPr="007114B7" w:rsidRDefault="00D54B54" w:rsidP="00D54B54">
      <w:pPr>
        <w:suppressLineNumbers/>
        <w:spacing w:line="480" w:lineRule="auto"/>
        <w:ind w:left="720" w:hanging="720"/>
        <w:jc w:val="both"/>
        <w:rPr>
          <w:color w:val="000000"/>
        </w:rPr>
      </w:pPr>
      <w:bookmarkStart w:id="45" w:name="_Toc63936861"/>
      <w:bookmarkStart w:id="46" w:name="_Toc67399026"/>
      <w:bookmarkStart w:id="47" w:name="_Toc74922987"/>
      <w:bookmarkStart w:id="48" w:name="_Toc82676389"/>
    </w:p>
    <w:p w14:paraId="5B00D7C7" w14:textId="77777777" w:rsidR="00D54B54" w:rsidRPr="003534B7" w:rsidRDefault="00D54B54" w:rsidP="00D54B54">
      <w:pPr>
        <w:pStyle w:val="Heading2"/>
      </w:pPr>
      <w:bookmarkStart w:id="49" w:name="_Toc83990836"/>
      <w:bookmarkStart w:id="50" w:name="_Toc84318880"/>
      <w:bookmarkStart w:id="51" w:name="_Toc85028729"/>
      <w:proofErr w:type="spellStart"/>
      <w:r w:rsidRPr="003534B7">
        <w:rPr>
          <w:caps/>
        </w:rPr>
        <w:t>I</w:t>
      </w:r>
      <w:r>
        <w:rPr>
          <w:caps/>
        </w:rPr>
        <w:t>I</w:t>
      </w:r>
      <w:r w:rsidRPr="003534B7">
        <w:rPr>
          <w:caps/>
        </w:rPr>
        <w:t>I</w:t>
      </w:r>
      <w:r w:rsidRPr="003534B7">
        <w:t>.B</w:t>
      </w:r>
      <w:proofErr w:type="spellEnd"/>
      <w:r w:rsidRPr="003534B7">
        <w:t>.  DCF Model</w:t>
      </w:r>
      <w:bookmarkEnd w:id="45"/>
      <w:bookmarkEnd w:id="46"/>
      <w:bookmarkEnd w:id="47"/>
      <w:bookmarkEnd w:id="48"/>
      <w:bookmarkEnd w:id="49"/>
      <w:bookmarkEnd w:id="50"/>
      <w:bookmarkEnd w:id="51"/>
    </w:p>
    <w:p w14:paraId="4A62DD89" w14:textId="77777777" w:rsidR="00D54B54" w:rsidRPr="007114B7" w:rsidRDefault="00D54B54" w:rsidP="00D54B54">
      <w:pPr>
        <w:keepNext/>
        <w:spacing w:line="480" w:lineRule="auto"/>
        <w:ind w:left="720" w:hanging="720"/>
        <w:jc w:val="both"/>
        <w:rPr>
          <w:b/>
          <w:caps/>
        </w:rPr>
      </w:pPr>
      <w:r w:rsidRPr="007114B7">
        <w:rPr>
          <w:b/>
          <w:caps/>
        </w:rPr>
        <w:t>Q</w:t>
      </w:r>
      <w:r w:rsidRPr="007114B7">
        <w:rPr>
          <w:b/>
          <w:caps/>
        </w:rPr>
        <w:tab/>
        <w:t>PLEASE DESCRIBE THE DCF MODEL.</w:t>
      </w:r>
    </w:p>
    <w:p w14:paraId="4DD9AE5B" w14:textId="77777777" w:rsidR="00D54B54" w:rsidRPr="007114B7" w:rsidRDefault="00D54B54" w:rsidP="00D54B54">
      <w:pPr>
        <w:spacing w:line="480" w:lineRule="auto"/>
        <w:ind w:left="720" w:hanging="720"/>
        <w:jc w:val="both"/>
      </w:pPr>
      <w:r w:rsidRPr="007114B7">
        <w:t>A</w:t>
      </w:r>
      <w:r w:rsidRPr="007114B7">
        <w:tab/>
        <w:t>The DCF model posits that a stock price is valued by summing the present value of expected future cash flows discounted at the investor</w:t>
      </w:r>
      <w:r>
        <w:t>’</w:t>
      </w:r>
      <w:r w:rsidRPr="007114B7">
        <w:t>s required rate of return or cost of capital.  This model is expressed mathematically as follows:</w:t>
      </w:r>
    </w:p>
    <w:p w14:paraId="3302ADE1" w14:textId="77777777" w:rsidR="00D54B54" w:rsidRPr="007114B7" w:rsidRDefault="00D54B54" w:rsidP="00D54B54">
      <w:pPr>
        <w:ind w:left="720" w:hanging="720"/>
        <w:jc w:val="both"/>
      </w:pPr>
      <w:r w:rsidRPr="007114B7">
        <w:tab/>
      </w:r>
      <w:r w:rsidRPr="007114B7">
        <w:tab/>
        <w:t>P</w:t>
      </w:r>
      <w:r w:rsidRPr="007114B7">
        <w:rPr>
          <w:vertAlign w:val="subscript"/>
        </w:rPr>
        <w:t>0</w:t>
      </w:r>
      <w:r w:rsidRPr="007114B7">
        <w:t xml:space="preserve"> =    D</w:t>
      </w:r>
      <w:r w:rsidRPr="007114B7">
        <w:rPr>
          <w:vertAlign w:val="subscript"/>
        </w:rPr>
        <w:t>1</w:t>
      </w:r>
      <w:r w:rsidRPr="007114B7">
        <w:t xml:space="preserve">     +     D</w:t>
      </w:r>
      <w:r w:rsidRPr="007114B7">
        <w:rPr>
          <w:vertAlign w:val="subscript"/>
        </w:rPr>
        <w:t>2</w:t>
      </w:r>
      <w:r w:rsidRPr="007114B7">
        <w:t xml:space="preserve">     . . . .     D</w:t>
      </w:r>
      <w:r w:rsidRPr="007114B7">
        <w:rPr>
          <w:vertAlign w:val="subscript"/>
        </w:rPr>
        <w:t>∞</w:t>
      </w:r>
      <w:r w:rsidRPr="007114B7">
        <w:t xml:space="preserve">      </w:t>
      </w:r>
      <w:r w:rsidRPr="007114B7">
        <w:tab/>
      </w:r>
      <w:r w:rsidRPr="007114B7">
        <w:tab/>
        <w:t>(Equation 1)</w:t>
      </w:r>
    </w:p>
    <w:p w14:paraId="08D55BE5" w14:textId="77777777" w:rsidR="00D54B54" w:rsidRPr="007114B7" w:rsidRDefault="00D54B54" w:rsidP="00D54B54">
      <w:pPr>
        <w:spacing w:line="480" w:lineRule="auto"/>
        <w:ind w:left="720" w:hanging="720"/>
        <w:jc w:val="both"/>
      </w:pPr>
      <w:r w:rsidRPr="007114B7">
        <w:rPr>
          <w:noProof/>
        </w:rPr>
        <mc:AlternateContent>
          <mc:Choice Requires="wps">
            <w:drawing>
              <wp:anchor distT="4294967292" distB="4294967292" distL="114300" distR="114300" simplePos="0" relativeHeight="251657216" behindDoc="0" locked="0" layoutInCell="1" allowOverlap="1" wp14:anchorId="502AEADE" wp14:editId="198114CD">
                <wp:simplePos x="0" y="0"/>
                <wp:positionH relativeFrom="column">
                  <wp:posOffset>2674620</wp:posOffset>
                </wp:positionH>
                <wp:positionV relativeFrom="paragraph">
                  <wp:posOffset>-3811</wp:posOffset>
                </wp:positionV>
                <wp:extent cx="352425" cy="0"/>
                <wp:effectExtent l="0" t="0" r="9525" b="0"/>
                <wp:wrapNone/>
                <wp:docPr id="32"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24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11B0338" id="_x0000_t32" coordsize="21600,21600" o:spt="32" o:oned="t" path="m,l21600,21600e" filled="f">
                <v:path arrowok="t" fillok="f" o:connecttype="none"/>
                <o:lock v:ext="edit" shapetype="t"/>
              </v:shapetype>
              <v:shape id="AutoShape 80" o:spid="_x0000_s1026" type="#_x0000_t32" style="position:absolute;margin-left:210.6pt;margin-top:-.3pt;width:27.75pt;height:0;z-index:2516633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"/>
            </w:pict>
          </mc:Fallback>
        </mc:AlternateContent>
      </w:r>
      <w:r w:rsidRPr="007114B7">
        <w:rPr>
          <w:noProof/>
        </w:rPr>
        <mc:AlternateContent>
          <mc:Choice Requires="wps">
            <w:drawing>
              <wp:anchor distT="4294967292" distB="4294967292" distL="114300" distR="114300" simplePos="0" relativeHeight="251658240" behindDoc="0" locked="0" layoutInCell="1" allowOverlap="1" wp14:anchorId="0807C143" wp14:editId="2C8DD114">
                <wp:simplePos x="0" y="0"/>
                <wp:positionH relativeFrom="column">
                  <wp:posOffset>1807845</wp:posOffset>
                </wp:positionH>
                <wp:positionV relativeFrom="paragraph">
                  <wp:posOffset>-3811</wp:posOffset>
                </wp:positionV>
                <wp:extent cx="352425" cy="0"/>
                <wp:effectExtent l="0" t="0" r="9525" b="0"/>
                <wp:wrapNone/>
                <wp:docPr id="9" name="AutoShap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24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E089D56" id="AutoShape 81" o:spid="_x0000_s1026" type="#_x0000_t32" style="position:absolute;margin-left:142.35pt;margin-top:-.3pt;width:27.75pt;height:0;z-index:2516643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"/>
            </w:pict>
          </mc:Fallback>
        </mc:AlternateContent>
      </w:r>
      <w:r w:rsidRPr="007114B7">
        <w:rPr>
          <w:noProof/>
        </w:rPr>
        <mc:AlternateContent>
          <mc:Choice Requires="wps">
            <w:drawing>
              <wp:anchor distT="4294967292" distB="4294967292" distL="114300" distR="114300" simplePos="0" relativeHeight="251659264" behindDoc="0" locked="0" layoutInCell="1" allowOverlap="1" wp14:anchorId="579AA669" wp14:editId="62EEE22F">
                <wp:simplePos x="0" y="0"/>
                <wp:positionH relativeFrom="column">
                  <wp:posOffset>1236345</wp:posOffset>
                </wp:positionH>
                <wp:positionV relativeFrom="paragraph">
                  <wp:posOffset>-3811</wp:posOffset>
                </wp:positionV>
                <wp:extent cx="352425" cy="0"/>
                <wp:effectExtent l="0" t="0" r="9525" b="0"/>
                <wp:wrapNone/>
                <wp:docPr id="8" name="AutoShap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24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2AFAE0A4" id="AutoShape 82" o:spid="_x0000_s1026" type="#_x0000_t32" style="position:absolute;margin-left:97.35pt;margin-top:-.3pt;width:27.75pt;height:0;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"/>
            </w:pict>
          </mc:Fallback>
        </mc:AlternateContent>
      </w:r>
      <w:r w:rsidRPr="007114B7">
        <w:tab/>
      </w:r>
      <w:r w:rsidRPr="007114B7">
        <w:tab/>
        <w:t xml:space="preserve">        (1+K)</w:t>
      </w:r>
      <w:r w:rsidRPr="007114B7">
        <w:rPr>
          <w:vertAlign w:val="superscript"/>
        </w:rPr>
        <w:t>1</w:t>
      </w:r>
      <w:r w:rsidRPr="007114B7">
        <w:t xml:space="preserve">     (1+K)</w:t>
      </w:r>
      <w:r w:rsidRPr="007114B7">
        <w:rPr>
          <w:vertAlign w:val="superscript"/>
        </w:rPr>
        <w:t>2</w:t>
      </w:r>
      <w:r w:rsidRPr="007114B7">
        <w:t xml:space="preserve">            (1+K)</w:t>
      </w:r>
      <w:r w:rsidRPr="007114B7">
        <w:rPr>
          <w:vertAlign w:val="superscript"/>
        </w:rPr>
        <w:t>∞</w:t>
      </w:r>
    </w:p>
    <w:p w14:paraId="7C331AC8" w14:textId="77777777" w:rsidR="00D54B54" w:rsidRPr="007114B7" w:rsidRDefault="00D54B54" w:rsidP="00D54B54">
      <w:pPr>
        <w:tabs>
          <w:tab w:val="left" w:pos="1440"/>
          <w:tab w:val="left" w:pos="1710"/>
        </w:tabs>
        <w:ind w:left="720" w:hanging="720"/>
        <w:jc w:val="both"/>
      </w:pPr>
      <w:r w:rsidRPr="007114B7">
        <w:tab/>
      </w:r>
      <w:r w:rsidRPr="007114B7">
        <w:tab/>
        <w:t>P</w:t>
      </w:r>
      <w:r w:rsidRPr="007114B7">
        <w:rPr>
          <w:vertAlign w:val="subscript"/>
        </w:rPr>
        <w:t>0</w:t>
      </w:r>
      <w:r w:rsidRPr="007114B7">
        <w:rPr>
          <w:vertAlign w:val="subscript"/>
        </w:rPr>
        <w:tab/>
      </w:r>
      <w:r w:rsidRPr="007114B7">
        <w:t>= Current stock price</w:t>
      </w:r>
    </w:p>
    <w:p w14:paraId="4F976C82" w14:textId="77777777" w:rsidR="00D54B54" w:rsidRPr="007114B7" w:rsidRDefault="00D54B54" w:rsidP="00D54B54">
      <w:pPr>
        <w:tabs>
          <w:tab w:val="left" w:pos="1440"/>
          <w:tab w:val="left" w:pos="1710"/>
        </w:tabs>
        <w:ind w:left="720" w:hanging="720"/>
        <w:jc w:val="both"/>
      </w:pPr>
      <w:r w:rsidRPr="007114B7">
        <w:tab/>
      </w:r>
      <w:r w:rsidRPr="007114B7">
        <w:tab/>
        <w:t>D</w:t>
      </w:r>
      <w:r w:rsidRPr="007114B7">
        <w:tab/>
        <w:t>= Dividends in periods 1 - ∞</w:t>
      </w:r>
    </w:p>
    <w:p w14:paraId="7F2A88D2" w14:textId="77777777" w:rsidR="00D54B54" w:rsidRPr="007114B7" w:rsidRDefault="00D54B54" w:rsidP="00D54B54">
      <w:pPr>
        <w:tabs>
          <w:tab w:val="left" w:pos="1440"/>
          <w:tab w:val="left" w:pos="1710"/>
        </w:tabs>
        <w:spacing w:line="480" w:lineRule="auto"/>
        <w:ind w:left="720" w:hanging="720"/>
        <w:jc w:val="both"/>
      </w:pPr>
      <w:r w:rsidRPr="007114B7">
        <w:tab/>
      </w:r>
      <w:r w:rsidRPr="007114B7">
        <w:tab/>
        <w:t>K</w:t>
      </w:r>
      <w:r w:rsidRPr="007114B7">
        <w:tab/>
        <w:t>= Investor</w:t>
      </w:r>
      <w:r>
        <w:t>’</w:t>
      </w:r>
      <w:r w:rsidRPr="007114B7">
        <w:t xml:space="preserve">s required return </w:t>
      </w:r>
    </w:p>
    <w:p w14:paraId="1DCFD913" w14:textId="77777777" w:rsidR="00D54B54" w:rsidRPr="007114B7" w:rsidRDefault="00D54B54" w:rsidP="00D54B54">
      <w:pPr>
        <w:spacing w:line="480" w:lineRule="auto"/>
        <w:ind w:left="720" w:hanging="720"/>
        <w:jc w:val="both"/>
      </w:pPr>
      <w:r w:rsidRPr="007114B7">
        <w:tab/>
      </w:r>
      <w:r w:rsidRPr="007114B7">
        <w:tab/>
        <w:t xml:space="preserve">This model can be rearranged in order to estimate the discount rate or investor-required return, known as </w:t>
      </w:r>
      <w:r>
        <w:t>“</w:t>
      </w:r>
      <w:r w:rsidRPr="007114B7">
        <w:t>K.</w:t>
      </w:r>
      <w:r>
        <w:t>”</w:t>
      </w:r>
      <w:r w:rsidRPr="007114B7">
        <w:t xml:space="preserve">  If it is reasonable to assume that earnings and dividends will grow at a constant rate, then Equation 1 can be rearranged as follows:</w:t>
      </w:r>
    </w:p>
    <w:p w14:paraId="49C78040" w14:textId="77777777" w:rsidR="00D54B54" w:rsidRPr="007114B7" w:rsidRDefault="00D54B54" w:rsidP="00ED544D">
      <w:pPr>
        <w:keepNext/>
        <w:keepLines/>
        <w:tabs>
          <w:tab w:val="left" w:pos="1440"/>
          <w:tab w:val="left" w:pos="1710"/>
        </w:tabs>
        <w:spacing w:line="480" w:lineRule="auto"/>
        <w:ind w:left="720" w:hanging="720"/>
        <w:jc w:val="both"/>
      </w:pPr>
      <w:r w:rsidRPr="007114B7">
        <w:lastRenderedPageBreak/>
        <w:tab/>
      </w:r>
      <w:r w:rsidRPr="007114B7">
        <w:tab/>
        <w:t>K</w:t>
      </w:r>
      <w:r w:rsidRPr="007114B7">
        <w:tab/>
        <w:t>= D</w:t>
      </w:r>
      <w:r w:rsidRPr="007114B7">
        <w:rPr>
          <w:vertAlign w:val="subscript"/>
        </w:rPr>
        <w:t>1</w:t>
      </w:r>
      <w:r w:rsidRPr="007114B7">
        <w:t>/P</w:t>
      </w:r>
      <w:r w:rsidRPr="007114B7">
        <w:rPr>
          <w:vertAlign w:val="subscript"/>
        </w:rPr>
        <w:t>0</w:t>
      </w:r>
      <w:r w:rsidRPr="007114B7">
        <w:t xml:space="preserve"> + G</w:t>
      </w:r>
      <w:r w:rsidRPr="007114B7">
        <w:tab/>
      </w:r>
      <w:r w:rsidRPr="007114B7">
        <w:tab/>
      </w:r>
      <w:r w:rsidRPr="007114B7">
        <w:tab/>
      </w:r>
      <w:r w:rsidRPr="007114B7">
        <w:tab/>
      </w:r>
      <w:r w:rsidRPr="007114B7">
        <w:tab/>
        <w:t>(Equation 2)</w:t>
      </w:r>
    </w:p>
    <w:p w14:paraId="058FE2A2" w14:textId="77777777" w:rsidR="00D54B54" w:rsidRPr="007114B7" w:rsidRDefault="00D54B54" w:rsidP="00ED544D">
      <w:pPr>
        <w:keepNext/>
        <w:keepLines/>
        <w:tabs>
          <w:tab w:val="left" w:pos="1440"/>
          <w:tab w:val="left" w:pos="1710"/>
        </w:tabs>
        <w:ind w:left="720" w:hanging="720"/>
        <w:jc w:val="both"/>
      </w:pPr>
      <w:r w:rsidRPr="007114B7">
        <w:tab/>
      </w:r>
      <w:r w:rsidRPr="007114B7">
        <w:tab/>
        <w:t>K</w:t>
      </w:r>
      <w:r w:rsidRPr="007114B7">
        <w:tab/>
        <w:t>= Investor</w:t>
      </w:r>
      <w:r>
        <w:t>’</w:t>
      </w:r>
      <w:r w:rsidRPr="007114B7">
        <w:t>s required return</w:t>
      </w:r>
    </w:p>
    <w:p w14:paraId="7BF609FC" w14:textId="77777777" w:rsidR="00D54B54" w:rsidRPr="007114B7" w:rsidRDefault="00D54B54" w:rsidP="00ED544D">
      <w:pPr>
        <w:keepNext/>
        <w:keepLines/>
        <w:tabs>
          <w:tab w:val="left" w:pos="1440"/>
          <w:tab w:val="left" w:pos="1710"/>
        </w:tabs>
        <w:ind w:left="720" w:hanging="720"/>
        <w:jc w:val="both"/>
      </w:pPr>
      <w:r w:rsidRPr="007114B7">
        <w:tab/>
      </w:r>
      <w:r w:rsidRPr="007114B7">
        <w:tab/>
        <w:t>D</w:t>
      </w:r>
      <w:r w:rsidRPr="007114B7">
        <w:rPr>
          <w:vertAlign w:val="subscript"/>
        </w:rPr>
        <w:t>1</w:t>
      </w:r>
      <w:r w:rsidRPr="007114B7">
        <w:tab/>
        <w:t>= Dividend in first year</w:t>
      </w:r>
    </w:p>
    <w:p w14:paraId="28E9FE09" w14:textId="77777777" w:rsidR="00D54B54" w:rsidRPr="007114B7" w:rsidRDefault="00D54B54" w:rsidP="00ED544D">
      <w:pPr>
        <w:keepNext/>
        <w:keepLines/>
        <w:tabs>
          <w:tab w:val="left" w:pos="1440"/>
          <w:tab w:val="left" w:pos="1710"/>
        </w:tabs>
        <w:ind w:left="720" w:hanging="720"/>
        <w:jc w:val="both"/>
      </w:pPr>
      <w:r w:rsidRPr="007114B7">
        <w:tab/>
      </w:r>
      <w:r w:rsidRPr="007114B7">
        <w:tab/>
        <w:t>P</w:t>
      </w:r>
      <w:r w:rsidRPr="007114B7">
        <w:rPr>
          <w:vertAlign w:val="subscript"/>
        </w:rPr>
        <w:t>0</w:t>
      </w:r>
      <w:r w:rsidRPr="007114B7">
        <w:tab/>
        <w:t>= Current stock price</w:t>
      </w:r>
    </w:p>
    <w:p w14:paraId="33C371EB" w14:textId="77777777" w:rsidR="00D54B54" w:rsidRPr="007114B7" w:rsidRDefault="00D54B54" w:rsidP="00D54B54">
      <w:pPr>
        <w:tabs>
          <w:tab w:val="left" w:pos="1440"/>
          <w:tab w:val="left" w:pos="1710"/>
        </w:tabs>
        <w:spacing w:line="480" w:lineRule="auto"/>
        <w:ind w:left="720" w:hanging="720"/>
        <w:jc w:val="both"/>
      </w:pPr>
      <w:r w:rsidRPr="007114B7">
        <w:tab/>
      </w:r>
      <w:r w:rsidRPr="007114B7">
        <w:tab/>
        <w:t>G</w:t>
      </w:r>
      <w:r w:rsidRPr="007114B7">
        <w:tab/>
        <w:t>= Expected constant dividend growth rate</w:t>
      </w:r>
    </w:p>
    <w:p w14:paraId="6BF60542" w14:textId="77777777" w:rsidR="00D54B54" w:rsidRPr="007114B7" w:rsidRDefault="00D54B54" w:rsidP="00D54B54">
      <w:pPr>
        <w:spacing w:line="480" w:lineRule="auto"/>
        <w:ind w:left="720" w:hanging="720"/>
        <w:jc w:val="both"/>
      </w:pPr>
      <w:r w:rsidRPr="007114B7">
        <w:tab/>
        <w:t xml:space="preserve">Equation 2 is referred to as the annual </w:t>
      </w:r>
      <w:r>
        <w:t>“</w:t>
      </w:r>
      <w:r w:rsidRPr="007114B7">
        <w:t>constant growth</w:t>
      </w:r>
      <w:r>
        <w:t>”</w:t>
      </w:r>
      <w:r w:rsidRPr="007114B7">
        <w:t xml:space="preserve"> DCF model.</w:t>
      </w:r>
    </w:p>
    <w:p w14:paraId="58349A5A" w14:textId="77777777" w:rsidR="00D54B54" w:rsidRPr="007114B7" w:rsidRDefault="00D54B54" w:rsidP="00D54B54">
      <w:pPr>
        <w:suppressLineNumbers/>
        <w:spacing w:line="480" w:lineRule="auto"/>
        <w:ind w:left="720" w:hanging="720"/>
        <w:jc w:val="both"/>
        <w:rPr>
          <w:color w:val="000000"/>
        </w:rPr>
      </w:pPr>
    </w:p>
    <w:p w14:paraId="751265C1" w14:textId="77777777" w:rsidR="00D54B54" w:rsidRPr="007114B7" w:rsidRDefault="00D54B54" w:rsidP="00D54B54">
      <w:pPr>
        <w:spacing w:line="480" w:lineRule="auto"/>
        <w:ind w:left="720" w:hanging="720"/>
        <w:jc w:val="both"/>
        <w:rPr>
          <w:b/>
          <w:caps/>
        </w:rPr>
      </w:pPr>
      <w:r w:rsidRPr="007114B7">
        <w:rPr>
          <w:b/>
          <w:caps/>
        </w:rPr>
        <w:t>Q</w:t>
      </w:r>
      <w:r w:rsidRPr="007114B7">
        <w:rPr>
          <w:b/>
          <w:caps/>
        </w:rPr>
        <w:tab/>
        <w:t xml:space="preserve">PLEASE DESCRIBE </w:t>
      </w:r>
      <w:r w:rsidRPr="007114B7">
        <w:rPr>
          <w:b/>
          <w:bCs/>
          <w:caps/>
        </w:rPr>
        <w:t>THE</w:t>
      </w:r>
      <w:r w:rsidRPr="007114B7">
        <w:rPr>
          <w:b/>
          <w:caps/>
        </w:rPr>
        <w:t xml:space="preserve"> INPUTS TO YOUR CONSTANT GROWTH DCF MODEL.</w:t>
      </w:r>
    </w:p>
    <w:p w14:paraId="5DD68F01" w14:textId="77777777" w:rsidR="00D54B54" w:rsidRPr="007114B7" w:rsidRDefault="00D54B54" w:rsidP="00D54B54">
      <w:pPr>
        <w:spacing w:line="480" w:lineRule="auto"/>
        <w:ind w:left="720" w:hanging="720"/>
        <w:jc w:val="both"/>
      </w:pPr>
      <w:r w:rsidRPr="007114B7">
        <w:t>A</w:t>
      </w:r>
      <w:r w:rsidRPr="007114B7">
        <w:tab/>
        <w:t>As shown in Equation 2 above, the DCF model requires a current stock price, expected dividend, and expected growth rate in dividends.</w:t>
      </w:r>
    </w:p>
    <w:p w14:paraId="0B38F6CD" w14:textId="77777777" w:rsidR="00D54B54" w:rsidRPr="007114B7" w:rsidRDefault="00D54B54" w:rsidP="00D54B54">
      <w:pPr>
        <w:suppressLineNumbers/>
        <w:spacing w:line="480" w:lineRule="auto"/>
        <w:ind w:left="720" w:hanging="720"/>
        <w:jc w:val="both"/>
        <w:rPr>
          <w:color w:val="000000"/>
        </w:rPr>
      </w:pPr>
    </w:p>
    <w:p w14:paraId="2360DD5B" w14:textId="77777777" w:rsidR="00D54B54" w:rsidRPr="007114B7" w:rsidRDefault="00D54B54" w:rsidP="00D54B54">
      <w:pPr>
        <w:keepNext/>
        <w:spacing w:line="480" w:lineRule="auto"/>
        <w:ind w:left="720" w:hanging="720"/>
        <w:jc w:val="both"/>
        <w:rPr>
          <w:b/>
          <w:caps/>
        </w:rPr>
      </w:pPr>
      <w:r w:rsidRPr="007114B7">
        <w:rPr>
          <w:b/>
          <w:caps/>
        </w:rPr>
        <w:t>Q</w:t>
      </w:r>
      <w:r w:rsidRPr="007114B7">
        <w:rPr>
          <w:b/>
          <w:caps/>
        </w:rPr>
        <w:tab/>
        <w:t>WHAT STOCK PRICE DID YOU USE IN YOUR CONSTANT GROWTH DCF MODEL?</w:t>
      </w:r>
    </w:p>
    <w:p w14:paraId="5618BF74" w14:textId="77777777" w:rsidR="00D54B54" w:rsidRPr="007114B7" w:rsidRDefault="00D54B54" w:rsidP="00D54B54">
      <w:pPr>
        <w:spacing w:line="480" w:lineRule="auto"/>
        <w:ind w:left="720" w:hanging="720"/>
        <w:jc w:val="both"/>
      </w:pPr>
      <w:r w:rsidRPr="007114B7">
        <w:t>A</w:t>
      </w:r>
      <w:r w:rsidRPr="007114B7">
        <w:tab/>
        <w:t xml:space="preserve">I relied on the average of the weekly high and low stock prices of the utilities in the proxy group over a 13-week period ending on September </w:t>
      </w:r>
      <w:r>
        <w:t>10</w:t>
      </w:r>
      <w:r w:rsidRPr="007114B7">
        <w:t>, 2021.  An average stock price is less susceptible to market price variations than a price at a single point in time.  Therefore, an average stock price is less susceptible to aberrant market price movements, which may not reflect the stock</w:t>
      </w:r>
      <w:r>
        <w:t>’</w:t>
      </w:r>
      <w:r w:rsidRPr="007114B7">
        <w:t>s long</w:t>
      </w:r>
      <w:r w:rsidRPr="007114B7">
        <w:noBreakHyphen/>
        <w:t>term value.</w:t>
      </w:r>
    </w:p>
    <w:p w14:paraId="0E75A55A" w14:textId="77777777" w:rsidR="00D54B54" w:rsidRPr="007114B7" w:rsidRDefault="00D54B54" w:rsidP="00D54B54">
      <w:pPr>
        <w:spacing w:line="480" w:lineRule="auto"/>
        <w:ind w:left="720" w:hanging="720"/>
        <w:jc w:val="both"/>
      </w:pPr>
      <w:r w:rsidRPr="007114B7">
        <w:tab/>
      </w:r>
      <w:r w:rsidRPr="007114B7">
        <w:tab/>
        <w:t>A 13-week average stock price reflects a period that is still short enough to contain data that reasonably reflects current market expectations, but the period is not so short as to be susceptible to market price variations that may not reflect the stock</w:t>
      </w:r>
      <w:r>
        <w:t>’</w:t>
      </w:r>
      <w:r w:rsidRPr="007114B7">
        <w:t>s long</w:t>
      </w:r>
      <w:r w:rsidRPr="007114B7">
        <w:noBreakHyphen/>
        <w:t>term value.  In my judgment, a 13</w:t>
      </w:r>
      <w:r w:rsidRPr="007114B7">
        <w:noBreakHyphen/>
        <w:t xml:space="preserve">week average stock price is a reasonable balance between the need to reflect current market expectations and the need to capture sufficient data to smooth out aberrant market movements.  </w:t>
      </w:r>
    </w:p>
    <w:p w14:paraId="525529DD" w14:textId="77777777" w:rsidR="00D54B54" w:rsidRPr="007114B7" w:rsidRDefault="00D54B54" w:rsidP="00D54B54">
      <w:pPr>
        <w:suppressLineNumbers/>
        <w:spacing w:line="480" w:lineRule="auto"/>
        <w:ind w:left="720" w:hanging="720"/>
        <w:jc w:val="both"/>
        <w:rPr>
          <w:color w:val="000000"/>
        </w:rPr>
      </w:pPr>
    </w:p>
    <w:p w14:paraId="2833D7A8" w14:textId="77777777" w:rsidR="00D54B54" w:rsidRPr="007114B7" w:rsidRDefault="00D54B54" w:rsidP="00D54B54">
      <w:pPr>
        <w:keepNext/>
        <w:spacing w:line="480" w:lineRule="auto"/>
        <w:ind w:left="720" w:hanging="720"/>
        <w:jc w:val="both"/>
        <w:rPr>
          <w:b/>
          <w:caps/>
        </w:rPr>
      </w:pPr>
      <w:r w:rsidRPr="007114B7">
        <w:rPr>
          <w:b/>
          <w:caps/>
        </w:rPr>
        <w:lastRenderedPageBreak/>
        <w:t>Q</w:t>
      </w:r>
      <w:r w:rsidRPr="007114B7">
        <w:rPr>
          <w:b/>
          <w:caps/>
        </w:rPr>
        <w:tab/>
        <w:t xml:space="preserve">WHAT </w:t>
      </w:r>
      <w:r w:rsidRPr="007114B7">
        <w:rPr>
          <w:b/>
          <w:bCs/>
          <w:caps/>
        </w:rPr>
        <w:t>DIVIDEND</w:t>
      </w:r>
      <w:r w:rsidRPr="007114B7">
        <w:rPr>
          <w:b/>
          <w:caps/>
        </w:rPr>
        <w:t xml:space="preserve"> DID YOU USE IN YOUR CONSTANT GROWTH DCF MODEL?</w:t>
      </w:r>
    </w:p>
    <w:p w14:paraId="67E50FBC" w14:textId="77777777" w:rsidR="00D54B54" w:rsidRPr="007114B7" w:rsidRDefault="00D54B54" w:rsidP="00D54B54">
      <w:pPr>
        <w:spacing w:line="480" w:lineRule="auto"/>
        <w:ind w:left="720" w:hanging="720"/>
        <w:jc w:val="both"/>
      </w:pPr>
      <w:r w:rsidRPr="007114B7">
        <w:t>A</w:t>
      </w:r>
      <w:r w:rsidRPr="007114B7">
        <w:tab/>
        <w:t xml:space="preserve">I used the most recently paid quarterly dividend as reported in </w:t>
      </w:r>
      <w:r w:rsidRPr="007114B7">
        <w:rPr>
          <w:i/>
        </w:rPr>
        <w:t>Value Line</w:t>
      </w:r>
      <w:r w:rsidRPr="007114B7">
        <w:t>.</w:t>
      </w:r>
      <w:r w:rsidRPr="007114B7">
        <w:rPr>
          <w:vertAlign w:val="superscript"/>
        </w:rPr>
        <w:footnoteReference w:id="13"/>
      </w:r>
      <w:r w:rsidRPr="007114B7">
        <w:t xml:space="preserve">  This dividend was annualized (multiplied by 4) and adjusted for next year</w:t>
      </w:r>
      <w:r>
        <w:t>’</w:t>
      </w:r>
      <w:r w:rsidRPr="007114B7">
        <w:t>s growth to produce the D</w:t>
      </w:r>
      <w:r w:rsidRPr="007114B7">
        <w:rPr>
          <w:vertAlign w:val="subscript"/>
        </w:rPr>
        <w:t>1</w:t>
      </w:r>
      <w:r w:rsidRPr="007114B7">
        <w:t xml:space="preserve"> factor for use in Equation 2 above.  In other words, I calculate D</w:t>
      </w:r>
      <w:r w:rsidRPr="007114B7">
        <w:rPr>
          <w:vertAlign w:val="subscript"/>
        </w:rPr>
        <w:t>1</w:t>
      </w:r>
      <w:r w:rsidRPr="007114B7">
        <w:t xml:space="preserve"> by multiplying the annualized dividend (D</w:t>
      </w:r>
      <w:r w:rsidRPr="007114B7">
        <w:rPr>
          <w:vertAlign w:val="subscript"/>
        </w:rPr>
        <w:t>0</w:t>
      </w:r>
      <w:r w:rsidRPr="007114B7">
        <w:t>) by (1+G).</w:t>
      </w:r>
    </w:p>
    <w:p w14:paraId="599998FB" w14:textId="77777777" w:rsidR="00D54B54" w:rsidRPr="007114B7" w:rsidRDefault="00D54B54" w:rsidP="00D54B54">
      <w:pPr>
        <w:suppressLineNumbers/>
        <w:spacing w:line="480" w:lineRule="auto"/>
        <w:ind w:left="720" w:hanging="720"/>
        <w:jc w:val="both"/>
        <w:rPr>
          <w:color w:val="000000"/>
        </w:rPr>
      </w:pPr>
    </w:p>
    <w:p w14:paraId="748EAE6C" w14:textId="77777777" w:rsidR="00D54B54" w:rsidRPr="007114B7" w:rsidRDefault="00D54B54" w:rsidP="00D54B54">
      <w:pPr>
        <w:keepNext/>
        <w:spacing w:line="480" w:lineRule="auto"/>
        <w:ind w:left="720" w:hanging="720"/>
        <w:jc w:val="both"/>
        <w:rPr>
          <w:b/>
          <w:caps/>
        </w:rPr>
      </w:pPr>
      <w:r w:rsidRPr="007114B7">
        <w:rPr>
          <w:b/>
          <w:caps/>
        </w:rPr>
        <w:t>Q</w:t>
      </w:r>
      <w:r w:rsidRPr="007114B7">
        <w:rPr>
          <w:b/>
          <w:caps/>
        </w:rPr>
        <w:tab/>
        <w:t>WHAT DIVIDEND GROWTH RATES DID YOU USE IN YOUR CONSTANT GROWTH DCF MODEL?</w:t>
      </w:r>
    </w:p>
    <w:p w14:paraId="20C64BE3" w14:textId="77777777" w:rsidR="00D54B54" w:rsidRPr="007114B7" w:rsidRDefault="00D54B54" w:rsidP="00D54B54">
      <w:pPr>
        <w:spacing w:line="480" w:lineRule="auto"/>
        <w:ind w:left="720" w:hanging="720"/>
        <w:jc w:val="both"/>
      </w:pPr>
      <w:r w:rsidRPr="007114B7">
        <w:t>A</w:t>
      </w:r>
      <w:r w:rsidRPr="007114B7">
        <w:tab/>
        <w:t>There are several methods that can be used to estimate the expected growth in dividends.  However, regardless of the method, to determine the market-required return on common equity, one must attempt to estimate investors</w:t>
      </w:r>
      <w:r>
        <w:t>’</w:t>
      </w:r>
      <w:r w:rsidRPr="007114B7">
        <w:t xml:space="preserve"> consensus about what the dividend, or earnings growth rate, will be and not what an individual investor or analyst may use to make individual investment decisions.</w:t>
      </w:r>
    </w:p>
    <w:p w14:paraId="725A179B" w14:textId="77777777" w:rsidR="00D54B54" w:rsidRPr="007114B7" w:rsidRDefault="00D54B54" w:rsidP="00D54B54">
      <w:pPr>
        <w:spacing w:line="480" w:lineRule="auto"/>
        <w:ind w:left="720" w:hanging="720"/>
        <w:jc w:val="both"/>
      </w:pPr>
      <w:r w:rsidRPr="007114B7">
        <w:tab/>
      </w:r>
      <w:r w:rsidRPr="007114B7">
        <w:tab/>
        <w:t>As predictors of future returns, securities analysts</w:t>
      </w:r>
      <w:r>
        <w:t>’</w:t>
      </w:r>
      <w:r w:rsidRPr="007114B7">
        <w:t xml:space="preserve"> growth estimates have been shown to be more accurate than growth rates derived from historical data.</w:t>
      </w:r>
      <w:r w:rsidRPr="007114B7">
        <w:rPr>
          <w:vertAlign w:val="superscript"/>
        </w:rPr>
        <w:footnoteReference w:id="14"/>
      </w:r>
      <w:r w:rsidRPr="007114B7">
        <w:t xml:space="preserve">  That is, assuming the market generally makes rational investment decisions, analysts</w:t>
      </w:r>
      <w:r>
        <w:t>’</w:t>
      </w:r>
      <w:r w:rsidRPr="007114B7">
        <w:t xml:space="preserve"> growth projections are more likely to influence investors</w:t>
      </w:r>
      <w:r>
        <w:t>’</w:t>
      </w:r>
      <w:r w:rsidRPr="007114B7">
        <w:t xml:space="preserve"> decisions, which are captured in observable stock prices, than growth rates derived only from historical data.</w:t>
      </w:r>
    </w:p>
    <w:p w14:paraId="054894D7" w14:textId="77777777" w:rsidR="00D54B54" w:rsidRPr="007114B7" w:rsidRDefault="00D54B54" w:rsidP="00D54B54">
      <w:pPr>
        <w:spacing w:line="480" w:lineRule="auto"/>
        <w:ind w:left="720" w:hanging="720"/>
        <w:jc w:val="both"/>
      </w:pPr>
      <w:r w:rsidRPr="007114B7">
        <w:tab/>
      </w:r>
      <w:r w:rsidRPr="007114B7">
        <w:tab/>
        <w:t>For my constant growth DCF analysis, I have relied on a consensus, or mean, of professional securities analysts</w:t>
      </w:r>
      <w:r>
        <w:t>’</w:t>
      </w:r>
      <w:r w:rsidRPr="007114B7">
        <w:t xml:space="preserve"> earnings growth estimates as a proxy for investor consensus dividend growth rate expectations.  I used the average of analysts</w:t>
      </w:r>
      <w:r>
        <w:t>’</w:t>
      </w:r>
      <w:r w:rsidRPr="007114B7">
        <w:t xml:space="preserve"> growth rate estimates from three sources: </w:t>
      </w:r>
      <w:proofErr w:type="spellStart"/>
      <w:r w:rsidRPr="007114B7">
        <w:t>Zacks</w:t>
      </w:r>
      <w:proofErr w:type="spellEnd"/>
      <w:r w:rsidRPr="007114B7">
        <w:t xml:space="preserve">, MI, and Yahoo! Finance.  All such projections were available on September 10, 2021, and all were reported online.  </w:t>
      </w:r>
    </w:p>
    <w:p w14:paraId="4C82B593" w14:textId="77777777" w:rsidR="00D54B54" w:rsidRPr="007114B7" w:rsidRDefault="00D54B54" w:rsidP="00D54B54">
      <w:pPr>
        <w:spacing w:line="480" w:lineRule="auto"/>
        <w:ind w:left="720" w:hanging="720"/>
        <w:jc w:val="both"/>
      </w:pPr>
      <w:r w:rsidRPr="007114B7">
        <w:lastRenderedPageBreak/>
        <w:tab/>
      </w:r>
      <w:r w:rsidRPr="007114B7">
        <w:tab/>
        <w:t>Each consensus growth rate projection is based on a survey of securities analysts.  There is no clear evidence whether a particular analyst is most influential on general market investors.  Therefore, a single analyst</w:t>
      </w:r>
      <w:r>
        <w:t>’</w:t>
      </w:r>
      <w:r w:rsidRPr="007114B7">
        <w:t>s projection does not as reliably predict consensus investor outlooks as does a consensus of market analysts</w:t>
      </w:r>
      <w:r>
        <w:t>’</w:t>
      </w:r>
      <w:r w:rsidRPr="007114B7">
        <w:t xml:space="preserve"> projections.  The consensus estimate is a simple arithmetic average, or mean, of surveyed analysts</w:t>
      </w:r>
      <w:r>
        <w:t>’</w:t>
      </w:r>
      <w:r w:rsidRPr="007114B7">
        <w:t xml:space="preserve"> earnings growth forecasts.  A simple average of the growth forecasts gives equal weight to all surveyed analysts</w:t>
      </w:r>
      <w:r>
        <w:t>’</w:t>
      </w:r>
      <w:r w:rsidRPr="007114B7">
        <w:t xml:space="preserve"> projections.  Therefore, a simple average, or arithmetic mean, of analyst forecasts is a good proxy for market consensus expectations.</w:t>
      </w:r>
    </w:p>
    <w:p w14:paraId="4D7CAE74" w14:textId="77777777" w:rsidR="00D54B54" w:rsidRPr="007114B7" w:rsidRDefault="00D54B54" w:rsidP="00D54B54">
      <w:pPr>
        <w:suppressLineNumbers/>
        <w:spacing w:line="480" w:lineRule="auto"/>
        <w:ind w:left="720" w:hanging="720"/>
        <w:jc w:val="both"/>
        <w:rPr>
          <w:color w:val="000000"/>
        </w:rPr>
      </w:pPr>
    </w:p>
    <w:p w14:paraId="433D811E" w14:textId="77777777" w:rsidR="00D54B54" w:rsidRPr="007114B7" w:rsidRDefault="00D54B54" w:rsidP="00D54B54">
      <w:pPr>
        <w:keepNext/>
        <w:keepLines/>
        <w:spacing w:line="480" w:lineRule="auto"/>
        <w:ind w:left="720" w:hanging="720"/>
        <w:jc w:val="both"/>
        <w:rPr>
          <w:b/>
          <w:caps/>
        </w:rPr>
      </w:pPr>
      <w:r w:rsidRPr="007114B7">
        <w:rPr>
          <w:b/>
          <w:caps/>
        </w:rPr>
        <w:t>Q</w:t>
      </w:r>
      <w:r w:rsidRPr="007114B7">
        <w:rPr>
          <w:b/>
          <w:caps/>
        </w:rPr>
        <w:tab/>
        <w:t xml:space="preserve">WHAT ARE </w:t>
      </w:r>
      <w:r w:rsidRPr="007114B7">
        <w:rPr>
          <w:b/>
          <w:bCs/>
          <w:caps/>
        </w:rPr>
        <w:t>THE</w:t>
      </w:r>
      <w:r w:rsidRPr="007114B7">
        <w:rPr>
          <w:b/>
          <w:caps/>
        </w:rPr>
        <w:t xml:space="preserve"> GROWTH RATES YOU USED IN YOUR CONSTANT GROWTH DCF MODEL?</w:t>
      </w:r>
    </w:p>
    <w:p w14:paraId="298F21BC" w14:textId="77777777" w:rsidR="00D54B54" w:rsidRPr="007114B7" w:rsidRDefault="00D54B54" w:rsidP="00D54B54">
      <w:pPr>
        <w:spacing w:line="480" w:lineRule="auto"/>
        <w:ind w:left="720" w:hanging="720"/>
        <w:jc w:val="both"/>
      </w:pPr>
      <w:r w:rsidRPr="007114B7">
        <w:t>A</w:t>
      </w:r>
      <w:r w:rsidRPr="007114B7">
        <w:tab/>
        <w:t xml:space="preserve">The growth rates I used in my DCF analysis are shown in </w:t>
      </w:r>
      <w:r w:rsidRPr="00E92E03">
        <w:t>Exhibit MPG-4</w:t>
      </w:r>
      <w:r w:rsidRPr="007114B7">
        <w:t>.  The average growth rate for my proxy group is 5.</w:t>
      </w:r>
      <w:r>
        <w:t>58</w:t>
      </w:r>
      <w:r w:rsidRPr="007114B7">
        <w:t xml:space="preserve">%.  </w:t>
      </w:r>
    </w:p>
    <w:p w14:paraId="730DE7DC" w14:textId="77777777" w:rsidR="00D54B54" w:rsidRPr="007114B7" w:rsidRDefault="00D54B54" w:rsidP="00D54B54">
      <w:pPr>
        <w:suppressLineNumbers/>
        <w:spacing w:line="480" w:lineRule="auto"/>
        <w:ind w:left="720" w:hanging="720"/>
        <w:jc w:val="both"/>
        <w:rPr>
          <w:color w:val="000000"/>
        </w:rPr>
      </w:pPr>
    </w:p>
    <w:p w14:paraId="7784D675" w14:textId="77777777" w:rsidR="00D54B54" w:rsidRPr="007114B7" w:rsidRDefault="00D54B54" w:rsidP="00D54B54">
      <w:pPr>
        <w:spacing w:line="480" w:lineRule="auto"/>
        <w:ind w:left="720" w:hanging="720"/>
        <w:jc w:val="both"/>
        <w:rPr>
          <w:b/>
          <w:caps/>
        </w:rPr>
      </w:pPr>
      <w:r w:rsidRPr="007114B7">
        <w:rPr>
          <w:b/>
          <w:caps/>
        </w:rPr>
        <w:t>Q</w:t>
      </w:r>
      <w:r w:rsidRPr="007114B7">
        <w:rPr>
          <w:b/>
          <w:caps/>
        </w:rPr>
        <w:tab/>
        <w:t xml:space="preserve">WHAT ARE THE </w:t>
      </w:r>
      <w:r w:rsidRPr="007114B7">
        <w:rPr>
          <w:b/>
          <w:bCs/>
          <w:caps/>
        </w:rPr>
        <w:t>RESULTS</w:t>
      </w:r>
      <w:r w:rsidRPr="007114B7">
        <w:rPr>
          <w:b/>
          <w:caps/>
        </w:rPr>
        <w:t xml:space="preserve"> OF YOUR CONSTANT GROWTH DCF MODEL?</w:t>
      </w:r>
    </w:p>
    <w:p w14:paraId="3E244A4E" w14:textId="77777777" w:rsidR="00D54B54" w:rsidRPr="007114B7" w:rsidRDefault="00D54B54" w:rsidP="00D54B54">
      <w:pPr>
        <w:spacing w:line="480" w:lineRule="auto"/>
        <w:ind w:left="720" w:hanging="720"/>
        <w:jc w:val="both"/>
      </w:pPr>
      <w:r w:rsidRPr="007114B7">
        <w:t>A</w:t>
      </w:r>
      <w:r w:rsidRPr="007114B7">
        <w:tab/>
        <w:t xml:space="preserve">As shown in </w:t>
      </w:r>
      <w:r w:rsidRPr="00E92E03">
        <w:t>Exhibit MPG-5</w:t>
      </w:r>
      <w:r w:rsidRPr="007114B7">
        <w:t>, the average and median constant growth DCF returns for my proxy group for the 13-week analysis are 9.</w:t>
      </w:r>
      <w:r>
        <w:t>07</w:t>
      </w:r>
      <w:r w:rsidRPr="007114B7">
        <w:t>% and 9.</w:t>
      </w:r>
      <w:r>
        <w:t>44</w:t>
      </w:r>
      <w:r w:rsidRPr="007114B7">
        <w:t xml:space="preserve">%, respectively.  </w:t>
      </w:r>
    </w:p>
    <w:p w14:paraId="1143594C" w14:textId="77777777" w:rsidR="00D54B54" w:rsidRPr="007114B7" w:rsidRDefault="00D54B54" w:rsidP="00D54B54">
      <w:pPr>
        <w:suppressLineNumbers/>
        <w:spacing w:line="480" w:lineRule="auto"/>
        <w:ind w:left="720" w:hanging="720"/>
        <w:jc w:val="both"/>
        <w:rPr>
          <w:color w:val="000000"/>
        </w:rPr>
      </w:pPr>
    </w:p>
    <w:p w14:paraId="5FC56C9C" w14:textId="77777777" w:rsidR="00D54B54" w:rsidRPr="007114B7" w:rsidRDefault="00D54B54" w:rsidP="00D54B54">
      <w:pPr>
        <w:keepNext/>
        <w:keepLines/>
        <w:spacing w:line="480" w:lineRule="auto"/>
        <w:ind w:left="720" w:hanging="720"/>
        <w:jc w:val="both"/>
        <w:rPr>
          <w:b/>
          <w:caps/>
        </w:rPr>
      </w:pPr>
      <w:r w:rsidRPr="007114B7">
        <w:rPr>
          <w:b/>
          <w:caps/>
        </w:rPr>
        <w:t>Q</w:t>
      </w:r>
      <w:r w:rsidRPr="007114B7">
        <w:rPr>
          <w:b/>
          <w:caps/>
        </w:rPr>
        <w:tab/>
        <w:t>DO YOU HAVE ANY COMMENTS ON THE RESULTS OF YOUR CONSTANT GROWTH DCF ANALYSIS?</w:t>
      </w:r>
    </w:p>
    <w:p w14:paraId="33E478C3" w14:textId="77777777" w:rsidR="00D54B54" w:rsidRPr="007114B7" w:rsidRDefault="00D54B54" w:rsidP="00D54B54">
      <w:pPr>
        <w:spacing w:line="480" w:lineRule="auto"/>
        <w:ind w:left="720" w:hanging="720"/>
        <w:jc w:val="both"/>
      </w:pPr>
      <w:r w:rsidRPr="007114B7">
        <w:t>A</w:t>
      </w:r>
      <w:r w:rsidRPr="007114B7">
        <w:tab/>
        <w:t>Yes.  The constant growth DCF analysis for my proxy group is based on an average long</w:t>
      </w:r>
      <w:r w:rsidRPr="007114B7">
        <w:noBreakHyphen/>
        <w:t>term sustainable growth rate of 5.</w:t>
      </w:r>
      <w:r>
        <w:t>58</w:t>
      </w:r>
      <w:r w:rsidRPr="007114B7">
        <w:t>%.  The three- to five-year growth rate is higher than my estimate of a maximum long-term s</w:t>
      </w:r>
      <w:r>
        <w:t>ustainable growth rate of 4.35%</w:t>
      </w:r>
      <w:r w:rsidRPr="007114B7">
        <w:t xml:space="preserve">.  </w:t>
      </w:r>
    </w:p>
    <w:p w14:paraId="5EF98D61" w14:textId="77777777" w:rsidR="00D54B54" w:rsidRPr="007114B7" w:rsidRDefault="00D54B54" w:rsidP="00D54B54">
      <w:pPr>
        <w:suppressLineNumbers/>
        <w:spacing w:line="480" w:lineRule="auto"/>
        <w:ind w:left="720" w:hanging="720"/>
        <w:jc w:val="both"/>
        <w:rPr>
          <w:color w:val="000000"/>
        </w:rPr>
      </w:pPr>
    </w:p>
    <w:p w14:paraId="26B1B973" w14:textId="77777777" w:rsidR="00D54B54" w:rsidRPr="007114B7" w:rsidRDefault="00D54B54" w:rsidP="00D54B54">
      <w:pPr>
        <w:keepNext/>
        <w:keepLines/>
        <w:spacing w:line="480" w:lineRule="auto"/>
        <w:ind w:left="720" w:hanging="720"/>
        <w:jc w:val="both"/>
        <w:rPr>
          <w:b/>
          <w:caps/>
        </w:rPr>
      </w:pPr>
      <w:r w:rsidRPr="007114B7">
        <w:rPr>
          <w:b/>
          <w:caps/>
        </w:rPr>
        <w:lastRenderedPageBreak/>
        <w:t>Q</w:t>
      </w:r>
      <w:r w:rsidRPr="007114B7">
        <w:rPr>
          <w:b/>
          <w:caps/>
        </w:rPr>
        <w:tab/>
        <w:t xml:space="preserve">HOW DID YOU </w:t>
      </w:r>
      <w:r w:rsidRPr="007114B7">
        <w:rPr>
          <w:b/>
          <w:bCs/>
          <w:caps/>
        </w:rPr>
        <w:t>ESTIMATE</w:t>
      </w:r>
      <w:r w:rsidRPr="007114B7">
        <w:rPr>
          <w:b/>
          <w:caps/>
        </w:rPr>
        <w:t xml:space="preserve"> A MAXIMUM LONG-TERM SUSTAINABLE GROWTH RATE?</w:t>
      </w:r>
    </w:p>
    <w:p w14:paraId="0B244A3F" w14:textId="77777777" w:rsidR="00D54B54" w:rsidRDefault="00D54B54" w:rsidP="00D54B54">
      <w:pPr>
        <w:spacing w:line="480" w:lineRule="auto"/>
        <w:ind w:left="720" w:hanging="720"/>
        <w:jc w:val="both"/>
      </w:pPr>
      <w:r w:rsidRPr="007114B7">
        <w:t>A</w:t>
      </w:r>
      <w:r w:rsidRPr="007114B7">
        <w:tab/>
      </w:r>
      <w:r>
        <w:t>T</w:t>
      </w:r>
      <w:r w:rsidRPr="007114B7">
        <w:t xml:space="preserve">he long-term sustainable growth rate for a utility stock cannot exceed the growth rate of the economy in which it sells its goods and services.  The long-term maximum sustainable growth rate for a utility investment is, accordingly, best </w:t>
      </w:r>
      <w:proofErr w:type="spellStart"/>
      <w:r w:rsidRPr="007114B7">
        <w:t>proxied</w:t>
      </w:r>
      <w:proofErr w:type="spellEnd"/>
      <w:r w:rsidRPr="007114B7">
        <w:t xml:space="preserve"> by the projected long-term Gross Domestic Product (</w:t>
      </w:r>
      <w:r>
        <w:t>“</w:t>
      </w:r>
      <w:r w:rsidRPr="007114B7">
        <w:t>GDP</w:t>
      </w:r>
      <w:r>
        <w:t>”</w:t>
      </w:r>
      <w:r w:rsidRPr="007114B7">
        <w:t xml:space="preserve">) growth rate as that reflects the projected long-term growth rate of the economy as a whole.  </w:t>
      </w:r>
      <w:r>
        <w:t>While growth rates on shorter periods can exceed the GDP growth rate, those short-term growth periods are likely followed by other periods where the growth rate is below the GDP.  On average over long periods of time, the growth rate is most accurately approximated by the long</w:t>
      </w:r>
      <w:r>
        <w:noBreakHyphen/>
        <w:t>term growth rate outlooks of the U.S. GDP.</w:t>
      </w:r>
    </w:p>
    <w:p w14:paraId="0A4101B8" w14:textId="77777777" w:rsidR="00D54B54" w:rsidRDefault="00D54B54" w:rsidP="00D54B54">
      <w:pPr>
        <w:spacing w:line="480" w:lineRule="auto"/>
        <w:ind w:left="720" w:firstLine="720"/>
        <w:jc w:val="both"/>
      </w:pPr>
      <w:r w:rsidRPr="007114B7">
        <w:rPr>
          <w:i/>
        </w:rPr>
        <w:t xml:space="preserve">Blue Chip Financial Forecasts </w:t>
      </w:r>
      <w:r w:rsidRPr="007114B7">
        <w:t>projects that over the next 5 and 10 years, the U.S. nominal GDP will grow at an annual rate of approximately 4.35%.  These GDP growth projections reflect a real growth outlook of around 2.15% and an inflation outlook of around 2.15% going forward.  As such, the average nominal growth rate over the next 10 years is around 4.35%, which I believe is a reasonable proxy of long-term sustainable growth.</w:t>
      </w:r>
      <w:r w:rsidRPr="007114B7">
        <w:rPr>
          <w:vertAlign w:val="superscript"/>
        </w:rPr>
        <w:footnoteReference w:id="15"/>
      </w:r>
    </w:p>
    <w:p w14:paraId="7AEBB779" w14:textId="77777777" w:rsidR="00D54B54" w:rsidRDefault="00D54B54" w:rsidP="00D54B54">
      <w:pPr>
        <w:suppressLineNumbers/>
        <w:spacing w:line="480" w:lineRule="auto"/>
        <w:ind w:left="720" w:firstLine="720"/>
        <w:jc w:val="both"/>
        <w:rPr>
          <w:i/>
        </w:rPr>
      </w:pPr>
    </w:p>
    <w:p w14:paraId="3FEA8FAC" w14:textId="77777777" w:rsidR="00D54B54" w:rsidRDefault="00D54B54" w:rsidP="00D54B54">
      <w:pPr>
        <w:spacing w:line="480" w:lineRule="auto"/>
        <w:ind w:left="720" w:hanging="720"/>
        <w:jc w:val="both"/>
        <w:rPr>
          <w:b/>
        </w:rPr>
      </w:pPr>
      <w:r>
        <w:rPr>
          <w:b/>
        </w:rPr>
        <w:t>Q</w:t>
      </w:r>
      <w:r>
        <w:rPr>
          <w:b/>
        </w:rPr>
        <w:tab/>
        <w:t>DO YOU CITE ANY AUTHORITATIVE SUPPORT FOR USING LONG-TERM GDP GROWTH AS A MAXIMUM SUSTAINABLE GROWTH RATE?</w:t>
      </w:r>
    </w:p>
    <w:p w14:paraId="249696EC" w14:textId="77777777" w:rsidR="00D54B54" w:rsidRPr="007114B7" w:rsidRDefault="00D54B54" w:rsidP="00D54B54">
      <w:pPr>
        <w:spacing w:line="480" w:lineRule="auto"/>
        <w:ind w:left="720" w:hanging="720"/>
        <w:jc w:val="both"/>
      </w:pPr>
      <w:r>
        <w:t>A</w:t>
      </w:r>
      <w:r>
        <w:tab/>
        <w:t xml:space="preserve">Yes.  </w:t>
      </w:r>
      <w:r w:rsidRPr="007114B7">
        <w:t xml:space="preserve">In my multi-stage growth DCF analysis, I discuss academic and investment practitioner support for using the projected long-term GDP growth outlook as a maximum sustainable growth rate projection.  Using the long-term GDP growth rate, however, as a conservative projection for the maximum sustainable growth rate is </w:t>
      </w:r>
      <w:r w:rsidRPr="007114B7">
        <w:lastRenderedPageBreak/>
        <w:t xml:space="preserve">logical, and is generally consistent with academic and economic practitioner accepted practices. </w:t>
      </w:r>
    </w:p>
    <w:p w14:paraId="4028A29E" w14:textId="77777777" w:rsidR="00D54B54" w:rsidRPr="007114B7" w:rsidRDefault="00D54B54" w:rsidP="00D54B54">
      <w:pPr>
        <w:suppressLineNumbers/>
        <w:spacing w:line="480" w:lineRule="auto"/>
        <w:ind w:left="720" w:hanging="720"/>
        <w:jc w:val="both"/>
        <w:rPr>
          <w:color w:val="000000"/>
        </w:rPr>
      </w:pPr>
      <w:bookmarkStart w:id="52" w:name="_Toc63936862"/>
      <w:bookmarkStart w:id="53" w:name="_Toc67399027"/>
      <w:bookmarkStart w:id="54" w:name="_Toc74922988"/>
      <w:bookmarkStart w:id="55" w:name="_Toc82676390"/>
    </w:p>
    <w:p w14:paraId="71F35ACA" w14:textId="77777777" w:rsidR="00D54B54" w:rsidRPr="007114B7" w:rsidRDefault="00D54B54" w:rsidP="00D54B54">
      <w:pPr>
        <w:pStyle w:val="Heading2"/>
      </w:pPr>
      <w:bookmarkStart w:id="56" w:name="_Toc83990837"/>
      <w:bookmarkStart w:id="57" w:name="_Toc84318881"/>
      <w:bookmarkStart w:id="58" w:name="_Toc85028730"/>
      <w:proofErr w:type="spellStart"/>
      <w:r w:rsidRPr="0077032B">
        <w:rPr>
          <w:caps/>
        </w:rPr>
        <w:t>I</w:t>
      </w:r>
      <w:r>
        <w:rPr>
          <w:caps/>
        </w:rPr>
        <w:t>I</w:t>
      </w:r>
      <w:r w:rsidRPr="0077032B">
        <w:rPr>
          <w:caps/>
        </w:rPr>
        <w:t>I</w:t>
      </w:r>
      <w:r w:rsidRPr="0077032B">
        <w:t>.C</w:t>
      </w:r>
      <w:proofErr w:type="spellEnd"/>
      <w:r w:rsidRPr="0077032B">
        <w:t>.  Sustainable</w:t>
      </w:r>
      <w:r w:rsidRPr="007114B7">
        <w:t xml:space="preserve"> Growth DCF</w:t>
      </w:r>
      <w:bookmarkEnd w:id="52"/>
      <w:bookmarkEnd w:id="53"/>
      <w:bookmarkEnd w:id="54"/>
      <w:bookmarkEnd w:id="55"/>
      <w:bookmarkEnd w:id="56"/>
      <w:bookmarkEnd w:id="57"/>
      <w:bookmarkEnd w:id="58"/>
    </w:p>
    <w:p w14:paraId="1FEEFDF5" w14:textId="77777777" w:rsidR="00D54B54" w:rsidRPr="007114B7" w:rsidRDefault="00D54B54" w:rsidP="00D54B54">
      <w:pPr>
        <w:spacing w:line="480" w:lineRule="auto"/>
        <w:ind w:left="720" w:hanging="720"/>
        <w:jc w:val="both"/>
        <w:rPr>
          <w:b/>
          <w:caps/>
        </w:rPr>
      </w:pPr>
      <w:r w:rsidRPr="007114B7">
        <w:rPr>
          <w:b/>
          <w:caps/>
        </w:rPr>
        <w:t>Q</w:t>
      </w:r>
      <w:r w:rsidRPr="007114B7">
        <w:rPr>
          <w:b/>
          <w:caps/>
        </w:rPr>
        <w:tab/>
        <w:t>PLEASE DESCRIBE HOW YOU ESTIMATED A SUSTAINABLE LONG</w:t>
      </w:r>
      <w:r w:rsidRPr="007114B7">
        <w:rPr>
          <w:b/>
          <w:caps/>
        </w:rPr>
        <w:noBreakHyphen/>
        <w:t>TERM GROWTH RATE FOR YOUR SUSTAINABLE GROWTH DCF MODEL.</w:t>
      </w:r>
    </w:p>
    <w:p w14:paraId="2E915C2C" w14:textId="77777777" w:rsidR="00D54B54" w:rsidRPr="007114B7" w:rsidRDefault="00D54B54" w:rsidP="00D54B54">
      <w:pPr>
        <w:spacing w:line="480" w:lineRule="auto"/>
        <w:ind w:left="720" w:hanging="720"/>
        <w:jc w:val="both"/>
      </w:pPr>
      <w:r w:rsidRPr="007114B7">
        <w:t>A</w:t>
      </w:r>
      <w:r w:rsidRPr="007114B7">
        <w:tab/>
      </w:r>
      <w:proofErr w:type="spellStart"/>
      <w:r w:rsidRPr="007114B7">
        <w:t>A</w:t>
      </w:r>
      <w:proofErr w:type="spellEnd"/>
      <w:r w:rsidRPr="007114B7">
        <w:t xml:space="preserve"> sustainable growth rate is based on the percentage of the utility</w:t>
      </w:r>
      <w:r>
        <w:t>’</w:t>
      </w:r>
      <w:r w:rsidRPr="007114B7">
        <w:t xml:space="preserve">s earnings that is retained and reinvested in utility plant and equipment.  These reinvested earnings increase the earnings base (rate base).  Earnings grow when plant funded by reinvested earnings is put into service, and the utility is allowed to earn its authorized return on such additional rate base investment.  </w:t>
      </w:r>
    </w:p>
    <w:p w14:paraId="1989D85B" w14:textId="24EC4335" w:rsidR="00D54B54" w:rsidRPr="007114B7" w:rsidRDefault="00D54B54" w:rsidP="00D54B54">
      <w:pPr>
        <w:spacing w:line="480" w:lineRule="auto"/>
        <w:ind w:left="720" w:hanging="720"/>
        <w:jc w:val="both"/>
      </w:pPr>
      <w:r w:rsidRPr="007114B7">
        <w:tab/>
      </w:r>
      <w:r w:rsidRPr="007114B7">
        <w:tab/>
        <w:t>The internal growth methodology is tied to the p</w:t>
      </w:r>
      <w:r w:rsidR="0093780B">
        <w:t>ercentage of earnings retained by the utility</w:t>
      </w:r>
      <w:r w:rsidRPr="007114B7">
        <w:t xml:space="preserve"> and not paid out as dividends.  The earnings retention ratio is 1 minus the dividend payout ratio.  As the payout ratio declines, the earnings retention ratio increases.  An increased earnings retention ratio will fuel stronger growth because the business funds more investments with retained earnings.  </w:t>
      </w:r>
    </w:p>
    <w:p w14:paraId="583DE2C4" w14:textId="77777777" w:rsidR="00D54B54" w:rsidRPr="007114B7" w:rsidRDefault="00D54B54" w:rsidP="00D54B54">
      <w:pPr>
        <w:spacing w:line="480" w:lineRule="auto"/>
        <w:ind w:left="720" w:hanging="720"/>
        <w:jc w:val="both"/>
      </w:pPr>
      <w:r w:rsidRPr="007114B7">
        <w:tab/>
      </w:r>
      <w:r w:rsidRPr="007114B7">
        <w:tab/>
        <w:t xml:space="preserve">The payout ratios of the proxy group are shown in my </w:t>
      </w:r>
      <w:r w:rsidRPr="00E92E03">
        <w:t>Exhibit MPG-6</w:t>
      </w:r>
      <w:r w:rsidRPr="007114B7">
        <w:t>.  These dividend payout ratios and earnings retention ratios then can be used to develop a sustainable long-term earnings retention growth rate.  A sustainable long</w:t>
      </w:r>
      <w:r w:rsidRPr="007114B7">
        <w:noBreakHyphen/>
        <w:t>term earnings retention ratio will help gauge whether analysts</w:t>
      </w:r>
      <w:r>
        <w:t>’</w:t>
      </w:r>
      <w:r w:rsidRPr="007114B7">
        <w:t xml:space="preserve"> current three- to five-year growth rate projections can be sustained over an indefinite period of time.</w:t>
      </w:r>
    </w:p>
    <w:p w14:paraId="59314C86" w14:textId="77777777" w:rsidR="00D54B54" w:rsidRPr="007114B7" w:rsidRDefault="00D54B54" w:rsidP="00D54B54">
      <w:pPr>
        <w:spacing w:line="480" w:lineRule="auto"/>
        <w:ind w:left="720" w:hanging="720"/>
        <w:jc w:val="both"/>
      </w:pPr>
      <w:r w:rsidRPr="007114B7">
        <w:tab/>
      </w:r>
      <w:r w:rsidRPr="007114B7">
        <w:tab/>
        <w:t xml:space="preserve">The data used to estimate the long-term sustainable growth rate is based on </w:t>
      </w:r>
      <w:proofErr w:type="spellStart"/>
      <w:r>
        <w:rPr>
          <w:rFonts w:eastAsia="Calibri"/>
        </w:rPr>
        <w:t>EPE</w:t>
      </w:r>
      <w:r>
        <w:t>’</w:t>
      </w:r>
      <w:r w:rsidRPr="007114B7">
        <w:t>s</w:t>
      </w:r>
      <w:proofErr w:type="spellEnd"/>
      <w:r w:rsidRPr="007114B7">
        <w:t xml:space="preserve"> current market-to-book ratio and on </w:t>
      </w:r>
      <w:r w:rsidRPr="007114B7">
        <w:rPr>
          <w:i/>
        </w:rPr>
        <w:t>Value Line</w:t>
      </w:r>
      <w:r>
        <w:t>’</w:t>
      </w:r>
      <w:r w:rsidRPr="007114B7">
        <w:t xml:space="preserve">s three- to five-year projections of earnings, dividends, earned returns on book equity, and stock issuances.  </w:t>
      </w:r>
    </w:p>
    <w:p w14:paraId="535189EB" w14:textId="77777777" w:rsidR="00D54B54" w:rsidRPr="007114B7" w:rsidRDefault="00D54B54" w:rsidP="00D54B54">
      <w:pPr>
        <w:spacing w:line="480" w:lineRule="auto"/>
        <w:ind w:left="720" w:hanging="720"/>
        <w:jc w:val="both"/>
      </w:pPr>
      <w:r w:rsidRPr="007114B7">
        <w:tab/>
      </w:r>
      <w:r w:rsidRPr="007114B7">
        <w:tab/>
        <w:t xml:space="preserve">As shown in </w:t>
      </w:r>
      <w:r w:rsidRPr="00E92E03">
        <w:t>Exhibit MPG-7</w:t>
      </w:r>
      <w:r w:rsidRPr="007114B7">
        <w:t xml:space="preserve">, the average sustainable growth rate using this internal growth rate model is </w:t>
      </w:r>
      <w:r>
        <w:t>5.08</w:t>
      </w:r>
      <w:r w:rsidRPr="007114B7">
        <w:t xml:space="preserve">% for the proxy group.  </w:t>
      </w:r>
    </w:p>
    <w:p w14:paraId="7426312C" w14:textId="77777777" w:rsidR="00D54B54" w:rsidRPr="007114B7" w:rsidRDefault="00D54B54" w:rsidP="00D54B54">
      <w:pPr>
        <w:keepNext/>
        <w:keepLines/>
        <w:spacing w:line="480" w:lineRule="auto"/>
        <w:ind w:left="720" w:hanging="720"/>
        <w:jc w:val="both"/>
        <w:rPr>
          <w:b/>
          <w:caps/>
        </w:rPr>
      </w:pPr>
      <w:r w:rsidRPr="007114B7">
        <w:rPr>
          <w:b/>
          <w:caps/>
        </w:rPr>
        <w:lastRenderedPageBreak/>
        <w:t>Q</w:t>
      </w:r>
      <w:r w:rsidRPr="007114B7">
        <w:rPr>
          <w:b/>
          <w:caps/>
        </w:rPr>
        <w:tab/>
        <w:t>WHAT IS THE DCF ESTIMATE USING THESE SUSTAINABLE LONG-TERM GROWTH RATES?</w:t>
      </w:r>
    </w:p>
    <w:p w14:paraId="783956A6" w14:textId="77777777" w:rsidR="00D54B54" w:rsidRPr="007114B7" w:rsidRDefault="00D54B54" w:rsidP="00D54B54">
      <w:pPr>
        <w:spacing w:line="480" w:lineRule="auto"/>
        <w:ind w:left="720" w:hanging="720"/>
        <w:jc w:val="both"/>
      </w:pPr>
      <w:r w:rsidRPr="007114B7">
        <w:t>A</w:t>
      </w:r>
      <w:r w:rsidRPr="007114B7">
        <w:tab/>
      </w:r>
      <w:proofErr w:type="spellStart"/>
      <w:r w:rsidRPr="007114B7">
        <w:t>A</w:t>
      </w:r>
      <w:proofErr w:type="spellEnd"/>
      <w:r w:rsidRPr="007114B7">
        <w:t xml:space="preserve"> DCF estimate based on these sustainable growth rates is developed in </w:t>
      </w:r>
      <w:r w:rsidRPr="00E92E03">
        <w:t>Exhibit MPG</w:t>
      </w:r>
      <w:r w:rsidRPr="00E92E03">
        <w:noBreakHyphen/>
        <w:t>8</w:t>
      </w:r>
      <w:r w:rsidRPr="007114B7">
        <w:t>.  As shown there, the sustainable growth DCF analysis produces proxy group average and median DCF results for the 13-week period of 8.</w:t>
      </w:r>
      <w:r>
        <w:t>56</w:t>
      </w:r>
      <w:r w:rsidRPr="007114B7">
        <w:t>% and 8.</w:t>
      </w:r>
      <w:r>
        <w:t>52</w:t>
      </w:r>
      <w:r w:rsidRPr="007114B7">
        <w:t xml:space="preserve">%, respectively.  </w:t>
      </w:r>
    </w:p>
    <w:p w14:paraId="4ABE0D46" w14:textId="77777777" w:rsidR="00D54B54" w:rsidRPr="007114B7" w:rsidRDefault="00D54B54" w:rsidP="00D54B54">
      <w:pPr>
        <w:suppressLineNumbers/>
        <w:spacing w:line="480" w:lineRule="auto"/>
        <w:ind w:left="720" w:hanging="720"/>
        <w:jc w:val="both"/>
        <w:rPr>
          <w:color w:val="000000"/>
        </w:rPr>
      </w:pPr>
      <w:bookmarkStart w:id="59" w:name="_Toc63936863"/>
      <w:bookmarkStart w:id="60" w:name="_Toc67399028"/>
      <w:bookmarkStart w:id="61" w:name="_Toc74922989"/>
      <w:bookmarkStart w:id="62" w:name="_Toc82676391"/>
    </w:p>
    <w:p w14:paraId="781010B7" w14:textId="77777777" w:rsidR="00D54B54" w:rsidRPr="007114B7" w:rsidRDefault="00D54B54" w:rsidP="00D54B54">
      <w:pPr>
        <w:pStyle w:val="Heading2"/>
      </w:pPr>
      <w:bookmarkStart w:id="63" w:name="_Toc83990838"/>
      <w:bookmarkStart w:id="64" w:name="_Toc84318882"/>
      <w:bookmarkStart w:id="65" w:name="_Toc85028731"/>
      <w:proofErr w:type="spellStart"/>
      <w:r w:rsidRPr="0077032B">
        <w:rPr>
          <w:rFonts w:cs="Arial"/>
          <w:caps/>
        </w:rPr>
        <w:t>II</w:t>
      </w:r>
      <w:r>
        <w:rPr>
          <w:rFonts w:cs="Arial"/>
          <w:caps/>
        </w:rPr>
        <w:t>I</w:t>
      </w:r>
      <w:r w:rsidRPr="0077032B">
        <w:rPr>
          <w:rFonts w:cs="Arial"/>
        </w:rPr>
        <w:t>.D</w:t>
      </w:r>
      <w:proofErr w:type="spellEnd"/>
      <w:r w:rsidRPr="0077032B">
        <w:rPr>
          <w:rFonts w:cs="Arial"/>
        </w:rPr>
        <w:t>.</w:t>
      </w:r>
      <w:r w:rsidRPr="007114B7">
        <w:t xml:space="preserve">  Multi-Stage Growth DCF Model</w:t>
      </w:r>
      <w:bookmarkEnd w:id="59"/>
      <w:bookmarkEnd w:id="60"/>
      <w:bookmarkEnd w:id="61"/>
      <w:bookmarkEnd w:id="62"/>
      <w:bookmarkEnd w:id="63"/>
      <w:bookmarkEnd w:id="64"/>
      <w:bookmarkEnd w:id="65"/>
    </w:p>
    <w:p w14:paraId="1B5E37F7" w14:textId="77777777" w:rsidR="00D54B54" w:rsidRPr="007114B7" w:rsidRDefault="00D54B54" w:rsidP="00D54B54">
      <w:pPr>
        <w:keepNext/>
        <w:keepLines/>
        <w:spacing w:line="480" w:lineRule="auto"/>
        <w:ind w:left="720" w:hanging="720"/>
        <w:jc w:val="both"/>
        <w:rPr>
          <w:b/>
          <w:caps/>
        </w:rPr>
      </w:pPr>
      <w:r w:rsidRPr="007114B7">
        <w:rPr>
          <w:b/>
          <w:caps/>
        </w:rPr>
        <w:t>Q</w:t>
      </w:r>
      <w:r w:rsidRPr="007114B7">
        <w:rPr>
          <w:b/>
          <w:caps/>
        </w:rPr>
        <w:tab/>
        <w:t xml:space="preserve">HAVE YOU </w:t>
      </w:r>
      <w:r w:rsidRPr="007114B7">
        <w:rPr>
          <w:b/>
          <w:bCs/>
          <w:caps/>
        </w:rPr>
        <w:t>CONDUCTED</w:t>
      </w:r>
      <w:r w:rsidRPr="007114B7">
        <w:rPr>
          <w:b/>
          <w:caps/>
        </w:rPr>
        <w:t xml:space="preserve"> ANY OTHER DCF STUDIES?</w:t>
      </w:r>
    </w:p>
    <w:p w14:paraId="0895BF66" w14:textId="77777777" w:rsidR="00D54B54" w:rsidRPr="007114B7" w:rsidRDefault="00D54B54" w:rsidP="00D54B54">
      <w:pPr>
        <w:spacing w:line="480" w:lineRule="auto"/>
        <w:ind w:left="720" w:hanging="720"/>
        <w:jc w:val="both"/>
      </w:pPr>
      <w:r w:rsidRPr="007114B7">
        <w:t>A</w:t>
      </w:r>
      <w:r w:rsidRPr="007114B7">
        <w:tab/>
        <w:t>Yes.  My first constant growth DCF is based on consensus analysts</w:t>
      </w:r>
      <w:r>
        <w:t>’</w:t>
      </w:r>
      <w:r w:rsidRPr="007114B7">
        <w:t xml:space="preserve"> growth rate projections so it is a reasonable reflection of rational investment expectations over the next three to five years.  The limitation on this constant growth DCF model is that it cannot reflect a rational expectation that a period of high or low short-term growth can be followed by a change in growth to a rate that better reflects long</w:t>
      </w:r>
      <w:r w:rsidRPr="007114B7">
        <w:noBreakHyphen/>
        <w:t xml:space="preserve">term sustainable growth.  Therefore, I performed a multi-stage growth DCF analysis to reflect this outlook of changing growth expectations.  </w:t>
      </w:r>
    </w:p>
    <w:p w14:paraId="73DC5629" w14:textId="77777777" w:rsidR="00D54B54" w:rsidRPr="007114B7" w:rsidRDefault="00D54B54" w:rsidP="00D54B54">
      <w:pPr>
        <w:suppressLineNumbers/>
        <w:spacing w:line="480" w:lineRule="auto"/>
        <w:ind w:left="720" w:hanging="720"/>
        <w:jc w:val="both"/>
        <w:rPr>
          <w:color w:val="000000"/>
        </w:rPr>
      </w:pPr>
    </w:p>
    <w:p w14:paraId="66E2663E" w14:textId="77777777" w:rsidR="00D54B54" w:rsidRPr="007114B7" w:rsidRDefault="00D54B54" w:rsidP="00D54B54">
      <w:pPr>
        <w:keepNext/>
        <w:keepLines/>
        <w:spacing w:line="480" w:lineRule="auto"/>
        <w:ind w:left="720" w:hanging="720"/>
        <w:jc w:val="both"/>
        <w:rPr>
          <w:b/>
          <w:caps/>
        </w:rPr>
      </w:pPr>
      <w:r w:rsidRPr="007114B7">
        <w:rPr>
          <w:b/>
          <w:caps/>
        </w:rPr>
        <w:t>Q</w:t>
      </w:r>
      <w:r w:rsidRPr="007114B7">
        <w:rPr>
          <w:b/>
          <w:caps/>
        </w:rPr>
        <w:tab/>
        <w:t xml:space="preserve">WHY DO YOU BELIEVE </w:t>
      </w:r>
      <w:r w:rsidRPr="007114B7">
        <w:rPr>
          <w:b/>
          <w:bCs/>
          <w:caps/>
        </w:rPr>
        <w:t>GROWTH</w:t>
      </w:r>
      <w:r w:rsidRPr="007114B7">
        <w:rPr>
          <w:b/>
          <w:caps/>
        </w:rPr>
        <w:t xml:space="preserve"> RATES CAN CHANGE OVER TIME?</w:t>
      </w:r>
    </w:p>
    <w:p w14:paraId="16794266" w14:textId="77777777" w:rsidR="00D54B54" w:rsidRPr="007114B7" w:rsidRDefault="00D54B54" w:rsidP="00D54B54">
      <w:pPr>
        <w:spacing w:line="480" w:lineRule="auto"/>
        <w:ind w:left="720" w:hanging="720"/>
        <w:jc w:val="both"/>
      </w:pPr>
      <w:r w:rsidRPr="007114B7">
        <w:t>A</w:t>
      </w:r>
      <w:r w:rsidRPr="007114B7">
        <w:tab/>
        <w:t xml:space="preserve">Analyst-projected growth rates over the next three to five years will change as utility earnings growth outlooks change.  Utility companies go through cycles in making investments in their systems.  When utility companies are making large investments, their rate base grows rapidly, which in turn accelerates earnings growth.  Once a major construction cycle is completed or levels off, growth in the utility rate base slows and its earnings growth slows from an abnormally high three- to five-year rate to a lower sustainable growth rate.  </w:t>
      </w:r>
    </w:p>
    <w:p w14:paraId="44F50FC8" w14:textId="77777777" w:rsidR="00D54B54" w:rsidRPr="007114B7" w:rsidRDefault="00D54B54" w:rsidP="00D54B54">
      <w:pPr>
        <w:spacing w:line="480" w:lineRule="auto"/>
        <w:ind w:left="720" w:hanging="720"/>
        <w:jc w:val="both"/>
      </w:pPr>
      <w:r w:rsidRPr="007114B7">
        <w:lastRenderedPageBreak/>
        <w:tab/>
      </w:r>
      <w:r w:rsidRPr="007114B7">
        <w:tab/>
        <w:t>As major construction cycles extend over longer periods of time, even with an accelerated construction program, the growth rate of the utility will slow simply because the pace of rate base growth will slow and because the utility has limited human and capital resources available to expand its construction program.  Therefore, the three- to five</w:t>
      </w:r>
      <w:r w:rsidRPr="007114B7">
        <w:noBreakHyphen/>
        <w:t>year growth rate projection should only be used as a long-term sustainable growth rate in concert with a reasonable, informed judgment as to whether it considers the current market environment, the industry, and whether the three- to five-year growth outlook is sustainable.</w:t>
      </w:r>
    </w:p>
    <w:p w14:paraId="086B4580" w14:textId="77777777" w:rsidR="00D54B54" w:rsidRPr="007114B7" w:rsidRDefault="00D54B54" w:rsidP="00D54B54">
      <w:pPr>
        <w:suppressLineNumbers/>
        <w:spacing w:line="480" w:lineRule="auto"/>
        <w:ind w:left="720" w:hanging="720"/>
        <w:jc w:val="both"/>
        <w:rPr>
          <w:color w:val="000000"/>
        </w:rPr>
      </w:pPr>
    </w:p>
    <w:p w14:paraId="1655EAD0" w14:textId="77777777" w:rsidR="00D54B54" w:rsidRPr="007114B7" w:rsidRDefault="00D54B54" w:rsidP="00D54B54">
      <w:pPr>
        <w:keepNext/>
        <w:keepLines/>
        <w:spacing w:line="480" w:lineRule="auto"/>
        <w:ind w:left="720" w:hanging="720"/>
        <w:jc w:val="both"/>
        <w:rPr>
          <w:b/>
          <w:caps/>
        </w:rPr>
      </w:pPr>
      <w:r w:rsidRPr="007114B7">
        <w:rPr>
          <w:b/>
          <w:caps/>
        </w:rPr>
        <w:t>Q</w:t>
      </w:r>
      <w:r w:rsidRPr="007114B7">
        <w:rPr>
          <w:b/>
          <w:caps/>
        </w:rPr>
        <w:tab/>
        <w:t xml:space="preserve">PLEASE </w:t>
      </w:r>
      <w:r w:rsidRPr="007114B7">
        <w:rPr>
          <w:b/>
          <w:bCs/>
          <w:caps/>
        </w:rPr>
        <w:t>DESCRIBE</w:t>
      </w:r>
      <w:r w:rsidRPr="007114B7">
        <w:rPr>
          <w:b/>
          <w:caps/>
        </w:rPr>
        <w:t xml:space="preserve"> YOUR MULTI-STAGE GROWTH DCF MODEL.</w:t>
      </w:r>
    </w:p>
    <w:p w14:paraId="791DE096" w14:textId="77777777" w:rsidR="00D54B54" w:rsidRPr="007114B7" w:rsidRDefault="00D54B54" w:rsidP="00D54B54">
      <w:pPr>
        <w:spacing w:line="480" w:lineRule="auto"/>
        <w:ind w:left="720" w:hanging="720"/>
        <w:jc w:val="both"/>
      </w:pPr>
      <w:r w:rsidRPr="007114B7">
        <w:t>A</w:t>
      </w:r>
      <w:r w:rsidRPr="007114B7">
        <w:tab/>
        <w:t>The multi-stage growth DCF model reflects the possibility of non-constant growth for a company over time.  The multi-stage growth DCF model reflects three growth periods: (1) a short-term growth period consisting of the first five years; (2) a transition period, consisting of the next five years (6 through 10); and (3) a long</w:t>
      </w:r>
      <w:r w:rsidRPr="007114B7">
        <w:noBreakHyphen/>
        <w:t xml:space="preserve">term growth period starting in year 11 through perpetuity.  </w:t>
      </w:r>
    </w:p>
    <w:p w14:paraId="0A3DCF16" w14:textId="77777777" w:rsidR="00D54B54" w:rsidRPr="007114B7" w:rsidRDefault="00D54B54" w:rsidP="00D54B54">
      <w:pPr>
        <w:spacing w:line="480" w:lineRule="auto"/>
        <w:ind w:left="720" w:hanging="720"/>
        <w:jc w:val="both"/>
      </w:pPr>
      <w:r w:rsidRPr="007114B7">
        <w:tab/>
      </w:r>
      <w:r w:rsidRPr="007114B7">
        <w:tab/>
        <w:t>For the short-term growth period, I relied on the consensus analysts</w:t>
      </w:r>
      <w:r>
        <w:t>’</w:t>
      </w:r>
      <w:r w:rsidRPr="007114B7">
        <w:t xml:space="preserve"> growth projections I used above in my constant growth DCF model.  For the transition period, the growth rates were reduced or increased by an equal factor reflecting the difference between the analysts</w:t>
      </w:r>
      <w:r>
        <w:t>’</w:t>
      </w:r>
      <w:r w:rsidRPr="007114B7">
        <w:t xml:space="preserve"> growth rates and the long-term sustainable growth rate.  For the long-term growth period, I assumed each company</w:t>
      </w:r>
      <w:r>
        <w:t>’</w:t>
      </w:r>
      <w:r w:rsidRPr="007114B7">
        <w:t xml:space="preserve">s growth would converge to the maximum sustainable long-term growth rate, which is the projected long-term GDP growth rate. </w:t>
      </w:r>
    </w:p>
    <w:p w14:paraId="003E2463" w14:textId="77777777" w:rsidR="00D54B54" w:rsidRPr="007114B7" w:rsidRDefault="00D54B54" w:rsidP="00D54B54">
      <w:pPr>
        <w:suppressLineNumbers/>
        <w:spacing w:line="480" w:lineRule="auto"/>
        <w:ind w:left="720" w:hanging="720"/>
        <w:jc w:val="both"/>
        <w:rPr>
          <w:color w:val="000000"/>
        </w:rPr>
      </w:pPr>
    </w:p>
    <w:p w14:paraId="6B068F94" w14:textId="77777777" w:rsidR="00D54B54" w:rsidRPr="007114B7" w:rsidRDefault="00D54B54" w:rsidP="00D54B54">
      <w:pPr>
        <w:keepNext/>
        <w:keepLines/>
        <w:spacing w:line="480" w:lineRule="auto"/>
        <w:ind w:left="720" w:hanging="720"/>
        <w:jc w:val="both"/>
        <w:rPr>
          <w:b/>
          <w:caps/>
        </w:rPr>
      </w:pPr>
      <w:r w:rsidRPr="007114B7">
        <w:rPr>
          <w:b/>
          <w:caps/>
        </w:rPr>
        <w:lastRenderedPageBreak/>
        <w:t>Q</w:t>
      </w:r>
      <w:r w:rsidRPr="007114B7">
        <w:rPr>
          <w:b/>
          <w:caps/>
        </w:rPr>
        <w:tab/>
        <w:t xml:space="preserve">WHY IS THE GDP </w:t>
      </w:r>
      <w:r w:rsidRPr="007114B7">
        <w:rPr>
          <w:b/>
          <w:bCs/>
          <w:caps/>
        </w:rPr>
        <w:t>GROWTH</w:t>
      </w:r>
      <w:r w:rsidRPr="007114B7">
        <w:rPr>
          <w:b/>
          <w:caps/>
        </w:rPr>
        <w:t xml:space="preserve"> PROJECTION A REASONABLE PROXY FOR THE MAXIMUM SUSTAINABLE LONG-TERM GROWTH RATE?</w:t>
      </w:r>
    </w:p>
    <w:p w14:paraId="75BF01A5" w14:textId="77777777" w:rsidR="00D54B54" w:rsidRPr="007114B7" w:rsidRDefault="00D54B54" w:rsidP="00D54B54">
      <w:pPr>
        <w:spacing w:line="480" w:lineRule="auto"/>
        <w:ind w:left="720" w:hanging="720"/>
        <w:jc w:val="both"/>
      </w:pPr>
      <w:r w:rsidRPr="007114B7">
        <w:t>A</w:t>
      </w:r>
      <w:r w:rsidRPr="007114B7">
        <w:tab/>
        <w:t>Utilities cannot indefinitely sustain a growth rate that exceeds the growth rate of the economy in which they sell services.  Utilities</w:t>
      </w:r>
      <w:r>
        <w:t>’</w:t>
      </w:r>
      <w:r w:rsidRPr="007114B7">
        <w:t xml:space="preserve"> earnings/dividend growth are created by increased utility investment or rate base.  Such investment, in turn, is driven by service area economic growth and demand for utility service.  In other words, utilities invest in plant to meet sales demand growth.  Sales growth, in turn, is tied to economic growth in their service areas.  </w:t>
      </w:r>
    </w:p>
    <w:p w14:paraId="3BAF2049" w14:textId="77777777" w:rsidR="00D54B54" w:rsidRPr="007114B7" w:rsidRDefault="00D54B54" w:rsidP="00D54B54">
      <w:pPr>
        <w:spacing w:line="480" w:lineRule="auto"/>
        <w:ind w:left="720" w:hanging="720"/>
        <w:jc w:val="both"/>
      </w:pPr>
      <w:r w:rsidRPr="007114B7">
        <w:tab/>
      </w:r>
      <w:r w:rsidRPr="007114B7">
        <w:tab/>
        <w:t>The U.S. Department of Energy, Energy Information Administration (</w:t>
      </w:r>
      <w:r>
        <w:t>“</w:t>
      </w:r>
      <w:proofErr w:type="spellStart"/>
      <w:r w:rsidRPr="007114B7">
        <w:t>EIA</w:t>
      </w:r>
      <w:proofErr w:type="spellEnd"/>
      <w:r>
        <w:t>”</w:t>
      </w:r>
      <w:r w:rsidRPr="007114B7">
        <w:t xml:space="preserve">) has observed utility sales growth tracks U.S. GDP growth, albeit at a lower level, as shown in </w:t>
      </w:r>
      <w:r w:rsidRPr="00E92E03">
        <w:t>Exhibit MPG-9</w:t>
      </w:r>
      <w:r w:rsidRPr="007114B7">
        <w:t>.  Utility sales growth has lagged behind GDP growth for more than a decade.  As a result, nominal GDP growth is a very conservative proxy for utility sales growth, rate base growth, and earnings growth.  Therefore, the U.S. GDP nominal growth rate is a reasonable proxy for the highest sustainable long</w:t>
      </w:r>
      <w:r w:rsidRPr="007114B7">
        <w:noBreakHyphen/>
        <w:t xml:space="preserve">term growth rate of a utility.  </w:t>
      </w:r>
    </w:p>
    <w:p w14:paraId="48766869" w14:textId="77777777" w:rsidR="00D54B54" w:rsidRPr="007114B7" w:rsidRDefault="00D54B54" w:rsidP="00D54B54">
      <w:pPr>
        <w:suppressLineNumbers/>
        <w:spacing w:line="480" w:lineRule="auto"/>
        <w:ind w:left="720" w:hanging="720"/>
        <w:jc w:val="both"/>
        <w:rPr>
          <w:color w:val="000000"/>
        </w:rPr>
      </w:pPr>
    </w:p>
    <w:p w14:paraId="01906076" w14:textId="77777777" w:rsidR="00D54B54" w:rsidRPr="007114B7" w:rsidRDefault="00D54B54" w:rsidP="00D54B54">
      <w:pPr>
        <w:keepNext/>
        <w:spacing w:line="480" w:lineRule="auto"/>
        <w:ind w:left="720" w:hanging="720"/>
        <w:jc w:val="both"/>
        <w:rPr>
          <w:b/>
          <w:caps/>
        </w:rPr>
      </w:pPr>
      <w:r w:rsidRPr="007114B7">
        <w:rPr>
          <w:b/>
          <w:caps/>
        </w:rPr>
        <w:t>Q</w:t>
      </w:r>
      <w:r w:rsidRPr="007114B7">
        <w:rPr>
          <w:b/>
          <w:caps/>
        </w:rPr>
        <w:tab/>
        <w:t>IS THERE RESEARCH THAT SUPPORTS YOUR POSITION THAT, OVER THE LONG TERM, A COMPANY</w:t>
      </w:r>
      <w:r>
        <w:rPr>
          <w:b/>
          <w:caps/>
        </w:rPr>
        <w:t>’</w:t>
      </w:r>
      <w:r w:rsidRPr="007114B7">
        <w:rPr>
          <w:b/>
          <w:caps/>
        </w:rPr>
        <w:t>S EARNINGS AND DIVIDENDS CANNOT GROW AT A RATE GREATER THAN THE GROWTH OF THE U.S. GDP?</w:t>
      </w:r>
    </w:p>
    <w:p w14:paraId="1AD139F4" w14:textId="77777777" w:rsidR="00D54B54" w:rsidRPr="007114B7" w:rsidRDefault="00D54B54" w:rsidP="00D54B54">
      <w:pPr>
        <w:spacing w:line="480" w:lineRule="auto"/>
        <w:ind w:left="720" w:hanging="720"/>
        <w:jc w:val="both"/>
      </w:pPr>
      <w:r w:rsidRPr="007114B7">
        <w:t>A</w:t>
      </w:r>
      <w:r w:rsidRPr="007114B7">
        <w:tab/>
        <w:t xml:space="preserve">Yes.  This concept is supported in published analyst literature and academic work.  Specifically, in </w:t>
      </w:r>
      <w:r>
        <w:t>“</w:t>
      </w:r>
      <w:r w:rsidRPr="007114B7">
        <w:t>Fundamentals of Financial Management,</w:t>
      </w:r>
      <w:r>
        <w:t>”</w:t>
      </w:r>
      <w:r w:rsidRPr="007114B7">
        <w:t xml:space="preserve"> a textbook published by Eugene Brigham and Joel F. Houston, the authors state:</w:t>
      </w:r>
    </w:p>
    <w:p w14:paraId="67A90A20" w14:textId="77777777" w:rsidR="00D54B54" w:rsidRPr="007114B7" w:rsidRDefault="00D54B54" w:rsidP="00D54B54">
      <w:pPr>
        <w:spacing w:after="240"/>
        <w:ind w:left="1440" w:right="720"/>
        <w:jc w:val="both"/>
        <w:rPr>
          <w:vertAlign w:val="superscript"/>
        </w:rPr>
      </w:pPr>
      <w:r w:rsidRPr="007114B7">
        <w:t xml:space="preserve">The constant growth model is most appropriate for mature companies with a stable history of growth and stable future expectations.  Expected growth rates vary somewhat among companies, but </w:t>
      </w:r>
      <w:r w:rsidRPr="007114B7">
        <w:rPr>
          <w:u w:val="single"/>
        </w:rPr>
        <w:t xml:space="preserve">dividends for </w:t>
      </w:r>
      <w:r w:rsidRPr="007114B7">
        <w:rPr>
          <w:u w:val="single"/>
        </w:rPr>
        <w:lastRenderedPageBreak/>
        <w:t>mature firms are often expected to grow in the future at about the same rate as nominal gross domestic product (real GDP plus inflation)</w:t>
      </w:r>
      <w:r w:rsidRPr="007114B7">
        <w:t>.</w:t>
      </w:r>
      <w:r w:rsidRPr="007114B7">
        <w:rPr>
          <w:vertAlign w:val="superscript"/>
        </w:rPr>
        <w:footnoteReference w:id="16"/>
      </w:r>
    </w:p>
    <w:p w14:paraId="5AF653B7" w14:textId="77777777" w:rsidR="00D54B54" w:rsidRPr="007114B7" w:rsidRDefault="00D54B54" w:rsidP="00D54B54">
      <w:pPr>
        <w:spacing w:line="480" w:lineRule="auto"/>
        <w:ind w:left="720" w:hanging="720"/>
        <w:jc w:val="both"/>
      </w:pPr>
      <w:r w:rsidRPr="007114B7">
        <w:rPr>
          <w:b/>
        </w:rPr>
        <w:tab/>
      </w:r>
      <w:r w:rsidRPr="007114B7">
        <w:tab/>
        <w:t>The use of the economic growth rate is also supported by investment practitioners as outlined as follows:</w:t>
      </w:r>
    </w:p>
    <w:p w14:paraId="36F66CCC" w14:textId="77777777" w:rsidR="00D54B54" w:rsidRPr="007114B7" w:rsidRDefault="00D54B54" w:rsidP="00D54B54">
      <w:pPr>
        <w:spacing w:line="480" w:lineRule="auto"/>
        <w:ind w:left="1440" w:right="720"/>
        <w:jc w:val="both"/>
        <w:rPr>
          <w:b/>
        </w:rPr>
      </w:pPr>
      <w:r w:rsidRPr="007114B7">
        <w:rPr>
          <w:b/>
        </w:rPr>
        <w:t>Estimating Growth Rates</w:t>
      </w:r>
    </w:p>
    <w:p w14:paraId="26B8955E" w14:textId="77777777" w:rsidR="00D54B54" w:rsidRPr="007114B7" w:rsidRDefault="00D54B54" w:rsidP="00D54B54">
      <w:pPr>
        <w:spacing w:after="240"/>
        <w:ind w:left="1440" w:right="720"/>
        <w:jc w:val="both"/>
      </w:pPr>
      <w:r w:rsidRPr="007114B7">
        <w:t>One of the advantages of a three-stage discounted cash flow model is that it fits with life cycle theories in regards to company growth.  In these theories, companies are assumed to have a life cycle with varying growth characteristics. Typically, the potential for extraordinary growth in the near term eases over time and eventually growth slows to a more stable level.</w:t>
      </w:r>
    </w:p>
    <w:p w14:paraId="12470706" w14:textId="77777777" w:rsidR="00D54B54" w:rsidRPr="007114B7" w:rsidRDefault="00D54B54" w:rsidP="00D54B54">
      <w:pPr>
        <w:spacing w:after="240"/>
        <w:ind w:left="1440" w:right="720"/>
        <w:jc w:val="center"/>
      </w:pPr>
      <w:r w:rsidRPr="007114B7">
        <w:t>*     *     *</w:t>
      </w:r>
    </w:p>
    <w:p w14:paraId="49E53CC8" w14:textId="77777777" w:rsidR="00D54B54" w:rsidRPr="007114B7" w:rsidRDefault="00D54B54" w:rsidP="00D54B54">
      <w:pPr>
        <w:spacing w:after="240"/>
        <w:ind w:left="1440" w:right="720"/>
        <w:jc w:val="both"/>
      </w:pPr>
      <w:r w:rsidRPr="007114B7">
        <w:t xml:space="preserve">Another approach to estimating long-term growth rates is to focus on estimating the overall economic growth rate.  Again, this is the approach used in the </w:t>
      </w:r>
      <w:r w:rsidRPr="007114B7">
        <w:rPr>
          <w:i/>
        </w:rPr>
        <w:t>Ibbotson Cost of Capital Yearbook</w:t>
      </w:r>
      <w:r w:rsidRPr="007114B7">
        <w:t>.  To obtain the economic growth rate, a forecast is made of the growth rate</w:t>
      </w:r>
      <w:r>
        <w:t>’</w:t>
      </w:r>
      <w:r w:rsidRPr="007114B7">
        <w:t>s component parts.  Expected growth can be broken into two main parts:  expected inflation and expected real growth.  By analyzing these components separately, it is easier to see the factors that drive growth.</w:t>
      </w:r>
      <w:r w:rsidRPr="007114B7">
        <w:rPr>
          <w:vertAlign w:val="superscript"/>
        </w:rPr>
        <w:footnoteReference w:id="17"/>
      </w:r>
    </w:p>
    <w:p w14:paraId="7A59A90F" w14:textId="77777777" w:rsidR="00D54B54" w:rsidRPr="007114B7" w:rsidRDefault="00D54B54" w:rsidP="00D54B54">
      <w:pPr>
        <w:suppressLineNumbers/>
        <w:spacing w:line="480" w:lineRule="auto"/>
        <w:ind w:left="720" w:hanging="720"/>
        <w:jc w:val="both"/>
        <w:rPr>
          <w:color w:val="000000"/>
        </w:rPr>
      </w:pPr>
    </w:p>
    <w:p w14:paraId="5CB78D92" w14:textId="77777777" w:rsidR="00D54B54" w:rsidRPr="007114B7" w:rsidRDefault="00D54B54" w:rsidP="00D54B54">
      <w:pPr>
        <w:spacing w:line="480" w:lineRule="auto"/>
        <w:ind w:left="720" w:hanging="720"/>
        <w:jc w:val="both"/>
        <w:rPr>
          <w:b/>
          <w:caps/>
        </w:rPr>
      </w:pPr>
      <w:r w:rsidRPr="007114B7">
        <w:rPr>
          <w:b/>
          <w:caps/>
        </w:rPr>
        <w:t>Q</w:t>
      </w:r>
      <w:r w:rsidRPr="007114B7">
        <w:rPr>
          <w:b/>
          <w:caps/>
        </w:rPr>
        <w:tab/>
        <w:t xml:space="preserve">ARE THERE </w:t>
      </w:r>
      <w:r w:rsidRPr="007114B7">
        <w:rPr>
          <w:b/>
          <w:bCs/>
          <w:caps/>
        </w:rPr>
        <w:t>ACTUAL</w:t>
      </w:r>
      <w:r w:rsidRPr="007114B7">
        <w:rPr>
          <w:b/>
          <w:caps/>
        </w:rPr>
        <w:t xml:space="preserve"> INVESTMENT RESULTS THAT SUPPORT THE THEORY THAT THE GROWTH ON STOCK INVESTMENTS WILL NOT EXCEED THE NOMINAL GROWTH OF THE U.S. GDP?</w:t>
      </w:r>
    </w:p>
    <w:p w14:paraId="08BF1440" w14:textId="77777777" w:rsidR="00D54B54" w:rsidRPr="007114B7" w:rsidRDefault="00D54B54" w:rsidP="00D54B54">
      <w:pPr>
        <w:spacing w:line="480" w:lineRule="auto"/>
        <w:ind w:left="720" w:hanging="720"/>
        <w:jc w:val="both"/>
        <w:rPr>
          <w:vertAlign w:val="superscript"/>
        </w:rPr>
      </w:pPr>
      <w:r w:rsidRPr="007114B7">
        <w:t>A</w:t>
      </w:r>
      <w:r w:rsidRPr="007114B7">
        <w:tab/>
        <w:t>Yes.  This is evident by a comparison of the compound annual growth of the U.S. GDP to the geometric growth of the U.S. stock market.  Duff &amp; Phelps measures the historical geometric growth of the U.S. stock market over the period 1926-2020 to be approximately 6.2%.</w:t>
      </w:r>
      <w:r w:rsidRPr="007114B7">
        <w:rPr>
          <w:vertAlign w:val="superscript"/>
        </w:rPr>
        <w:footnoteReference w:id="18"/>
      </w:r>
      <w:r w:rsidRPr="007114B7">
        <w:t xml:space="preserve">  During this same time period, the U.S. nominal compound annual growth of the U.S. GDP was approximately 6.0%.</w:t>
      </w:r>
      <w:r w:rsidRPr="007114B7">
        <w:rPr>
          <w:vertAlign w:val="superscript"/>
        </w:rPr>
        <w:footnoteReference w:id="19"/>
      </w:r>
      <w:r w:rsidRPr="007114B7">
        <w:t xml:space="preserve"> </w:t>
      </w:r>
    </w:p>
    <w:p w14:paraId="2578988B" w14:textId="77777777" w:rsidR="00D54B54" w:rsidRPr="007114B7" w:rsidRDefault="00D54B54" w:rsidP="00D54B54">
      <w:pPr>
        <w:spacing w:line="480" w:lineRule="auto"/>
        <w:ind w:left="720" w:hanging="720"/>
        <w:jc w:val="both"/>
      </w:pPr>
      <w:r w:rsidRPr="007114B7">
        <w:lastRenderedPageBreak/>
        <w:tab/>
      </w:r>
      <w:r w:rsidRPr="007114B7">
        <w:tab/>
        <w:t xml:space="preserve">As such, over the past 94 years, the geometric average growth of the U.S. nominal GDP has been slightly higher than, but comparable to, the geometric average growth of the U.S. stock market capital appreciation.  This historical relationship indicates that the U.S. GDP growth outlook is a reasonable estimate of the long-term sustainable growth of U.S. stock investments. </w:t>
      </w:r>
    </w:p>
    <w:p w14:paraId="1E80D64E" w14:textId="77777777" w:rsidR="00D54B54" w:rsidRPr="007114B7" w:rsidRDefault="00D54B54" w:rsidP="00D54B54">
      <w:pPr>
        <w:suppressLineNumbers/>
        <w:spacing w:line="480" w:lineRule="auto"/>
        <w:ind w:left="720" w:hanging="720"/>
        <w:jc w:val="both"/>
        <w:rPr>
          <w:color w:val="000000"/>
        </w:rPr>
      </w:pPr>
    </w:p>
    <w:p w14:paraId="4FAA1E97" w14:textId="77777777" w:rsidR="00D54B54" w:rsidRPr="007114B7" w:rsidRDefault="00D54B54" w:rsidP="00D54B54">
      <w:pPr>
        <w:keepNext/>
        <w:keepLines/>
        <w:spacing w:line="480" w:lineRule="auto"/>
        <w:ind w:left="720" w:hanging="720"/>
        <w:jc w:val="both"/>
        <w:rPr>
          <w:b/>
          <w:caps/>
        </w:rPr>
      </w:pPr>
      <w:r w:rsidRPr="007114B7">
        <w:rPr>
          <w:b/>
          <w:caps/>
        </w:rPr>
        <w:t>Q</w:t>
      </w:r>
      <w:r w:rsidRPr="007114B7">
        <w:rPr>
          <w:b/>
          <w:caps/>
        </w:rPr>
        <w:tab/>
        <w:t xml:space="preserve">WHAT IS THE GEOMETRIC AVERAGE AND WHY IS IT APPROPRIATE TO USE THIS MEASURE TO </w:t>
      </w:r>
      <w:r w:rsidRPr="007114B7">
        <w:rPr>
          <w:b/>
          <w:bCs/>
          <w:caps/>
        </w:rPr>
        <w:t>COMPARE</w:t>
      </w:r>
      <w:r w:rsidRPr="007114B7">
        <w:rPr>
          <w:b/>
          <w:caps/>
        </w:rPr>
        <w:t xml:space="preserve"> GDP GROWTH TO CAPITAL APPRECIATION IN THE STOCK MARKET?</w:t>
      </w:r>
    </w:p>
    <w:p w14:paraId="4C645FCB" w14:textId="77777777" w:rsidR="00D54B54" w:rsidRPr="007114B7" w:rsidRDefault="00D54B54" w:rsidP="00D54B54">
      <w:pPr>
        <w:spacing w:line="480" w:lineRule="auto"/>
        <w:ind w:left="720" w:hanging="720"/>
        <w:jc w:val="both"/>
      </w:pPr>
      <w:r w:rsidRPr="007114B7">
        <w:t>A</w:t>
      </w:r>
      <w:r w:rsidRPr="007114B7">
        <w:tab/>
        <w:t>The terms geometric average growth rate and compound annual growth rate are used interchangeably.  The geometric annual growth rate is the calculated growth rate, or return, that measures the magnitude of growth from start to finish.  The geometric average is best, and most often, used as a measurement of performance or growth over a long period of time.</w:t>
      </w:r>
      <w:r w:rsidRPr="007114B7">
        <w:rPr>
          <w:vertAlign w:val="superscript"/>
        </w:rPr>
        <w:footnoteReference w:id="20"/>
      </w:r>
      <w:r w:rsidRPr="007114B7">
        <w:t xml:space="preserve">  Because I am comparing achieved growth in the stock market to achieved growth in U.S. GDP over a long period of time, the geometric average growth rate is most appropriate. </w:t>
      </w:r>
    </w:p>
    <w:p w14:paraId="41BBDFE3" w14:textId="77777777" w:rsidR="00D54B54" w:rsidRPr="007114B7" w:rsidRDefault="00D54B54" w:rsidP="00D54B54">
      <w:pPr>
        <w:suppressLineNumbers/>
        <w:spacing w:line="480" w:lineRule="auto"/>
        <w:ind w:left="720" w:hanging="720"/>
        <w:jc w:val="both"/>
        <w:rPr>
          <w:color w:val="000000"/>
        </w:rPr>
      </w:pPr>
    </w:p>
    <w:p w14:paraId="5F88EBF1" w14:textId="77777777" w:rsidR="00D54B54" w:rsidRPr="007114B7" w:rsidRDefault="00D54B54" w:rsidP="00D54B54">
      <w:pPr>
        <w:spacing w:line="480" w:lineRule="auto"/>
        <w:ind w:left="720" w:hanging="720"/>
        <w:jc w:val="both"/>
        <w:rPr>
          <w:b/>
          <w:caps/>
        </w:rPr>
      </w:pPr>
      <w:r w:rsidRPr="007114B7">
        <w:rPr>
          <w:b/>
          <w:caps/>
        </w:rPr>
        <w:t>Q</w:t>
      </w:r>
      <w:r w:rsidRPr="007114B7">
        <w:rPr>
          <w:b/>
          <w:caps/>
        </w:rPr>
        <w:tab/>
        <w:t>HOW DID YOU DETERMINE A LONG-TERM GROWTH RATE THAT REFLECTS THE CURRENT CONSENSUS MARKET PARTICIPANT OUTLOOK?</w:t>
      </w:r>
    </w:p>
    <w:p w14:paraId="22D06CA5" w14:textId="77777777" w:rsidR="00D54B54" w:rsidRPr="007114B7" w:rsidRDefault="00D54B54" w:rsidP="00D54B54">
      <w:pPr>
        <w:spacing w:line="480" w:lineRule="auto"/>
        <w:ind w:left="720" w:hanging="720"/>
        <w:jc w:val="both"/>
        <w:rPr>
          <w:vertAlign w:val="superscript"/>
        </w:rPr>
      </w:pPr>
      <w:r w:rsidRPr="007114B7">
        <w:t>A</w:t>
      </w:r>
      <w:r w:rsidRPr="007114B7">
        <w:tab/>
        <w:t xml:space="preserve">I relied on the economic consensus of long-term GDP growth projections.  </w:t>
      </w:r>
      <w:r w:rsidRPr="007114B7">
        <w:rPr>
          <w:i/>
        </w:rPr>
        <w:t>Blue Chip Financial Forecasts</w:t>
      </w:r>
      <w:r w:rsidRPr="007114B7">
        <w:t xml:space="preserve"> publishes the consensus for GDP growth projections twice a year.  These consensus GDP growth outlooks are the best available measure of the market</w:t>
      </w:r>
      <w:r>
        <w:t>’</w:t>
      </w:r>
      <w:r w:rsidRPr="007114B7">
        <w:t>s assessment of long-term GDP growth because the analysts</w:t>
      </w:r>
      <w:r>
        <w:t>’</w:t>
      </w:r>
      <w:r w:rsidRPr="007114B7">
        <w:t xml:space="preserve"> projections reflect all current outlooks for GDP.  They are therefore likely the most influential on investors</w:t>
      </w:r>
      <w:r>
        <w:t>’</w:t>
      </w:r>
      <w:r w:rsidRPr="007114B7">
        <w:t xml:space="preserve"> </w:t>
      </w:r>
      <w:r w:rsidRPr="007114B7">
        <w:lastRenderedPageBreak/>
        <w:t>expectations of future growth outlooks.  The consensus projections published GDP growth rate outlook is 4.35% over the next 10 years.</w:t>
      </w:r>
      <w:r w:rsidRPr="007114B7">
        <w:rPr>
          <w:vertAlign w:val="superscript"/>
        </w:rPr>
        <w:footnoteReference w:id="21"/>
      </w:r>
    </w:p>
    <w:p w14:paraId="30E4C597" w14:textId="4B730B65" w:rsidR="00D54B54" w:rsidRPr="007114B7" w:rsidRDefault="00D54B54" w:rsidP="00D54B54">
      <w:pPr>
        <w:spacing w:line="480" w:lineRule="auto"/>
        <w:ind w:left="720" w:hanging="720"/>
        <w:jc w:val="both"/>
      </w:pPr>
      <w:r w:rsidRPr="007114B7">
        <w:tab/>
      </w:r>
      <w:r w:rsidRPr="007114B7">
        <w:tab/>
        <w:t>I propose to use the consensus for projected five- and ten</w:t>
      </w:r>
      <w:r w:rsidRPr="007114B7">
        <w:noBreakHyphen/>
        <w:t xml:space="preserve">year average GDP growth rates of 4.35%, as published by </w:t>
      </w:r>
      <w:r w:rsidRPr="007114B7">
        <w:rPr>
          <w:i/>
        </w:rPr>
        <w:t>Blue Chip Financial Forecasts</w:t>
      </w:r>
      <w:r w:rsidRPr="007114B7">
        <w:t>, as an estimate of long</w:t>
      </w:r>
      <w:r w:rsidRPr="007114B7">
        <w:noBreakHyphen/>
        <w:t xml:space="preserve">term sustainable growth.  </w:t>
      </w:r>
      <w:r w:rsidRPr="007114B7">
        <w:rPr>
          <w:i/>
        </w:rPr>
        <w:t>Blue Chip Financial Forecasts</w:t>
      </w:r>
      <w:r w:rsidRPr="007114B7">
        <w:t xml:space="preserve"> projections provide real GDP growth projections of approximately 2.15% and inflation of 2.15%</w:t>
      </w:r>
      <w:r w:rsidR="008C51B4">
        <w:t xml:space="preserve"> </w:t>
      </w:r>
      <w:r w:rsidRPr="007114B7">
        <w:t>over the five-year</w:t>
      </w:r>
      <w:r>
        <w:t xml:space="preserve"> (2023-2027)</w:t>
      </w:r>
      <w:r w:rsidRPr="007114B7">
        <w:t xml:space="preserve"> and ten</w:t>
      </w:r>
      <w:r w:rsidRPr="007114B7">
        <w:noBreakHyphen/>
        <w:t>year</w:t>
      </w:r>
      <w:r>
        <w:t xml:space="preserve"> (2028-2032)</w:t>
      </w:r>
      <w:r w:rsidRPr="007114B7">
        <w:t xml:space="preserve"> projection periods, resulting in </w:t>
      </w:r>
      <w:r>
        <w:t xml:space="preserve">an average ten-year </w:t>
      </w:r>
      <w:r w:rsidRPr="007114B7">
        <w:t>nominal</w:t>
      </w:r>
      <w:r>
        <w:t xml:space="preserve"> annual GDP growth projection</w:t>
      </w:r>
      <w:r w:rsidRPr="007114B7">
        <w:t xml:space="preserve"> of 4.35%</w:t>
      </w:r>
      <w:r w:rsidR="008C51B4">
        <w:t>.</w:t>
      </w:r>
      <w:r w:rsidR="008C51B4" w:rsidRPr="007114B7">
        <w:rPr>
          <w:vertAlign w:val="superscript"/>
        </w:rPr>
        <w:footnoteReference w:id="22"/>
      </w:r>
      <w:r w:rsidRPr="007114B7">
        <w:t xml:space="preserve">  These GDP growth forecasts represent the most likely views of market participants because they are based on published economic consensus projections.  </w:t>
      </w:r>
    </w:p>
    <w:p w14:paraId="537D0EEA" w14:textId="77777777" w:rsidR="00D54B54" w:rsidRPr="007114B7" w:rsidRDefault="00D54B54" w:rsidP="00D54B54">
      <w:pPr>
        <w:suppressLineNumbers/>
        <w:spacing w:line="480" w:lineRule="auto"/>
        <w:ind w:left="720" w:hanging="720"/>
        <w:jc w:val="both"/>
        <w:rPr>
          <w:color w:val="000000"/>
        </w:rPr>
      </w:pPr>
    </w:p>
    <w:p w14:paraId="7FB217C5" w14:textId="77777777" w:rsidR="00D54B54" w:rsidRPr="007114B7" w:rsidRDefault="00D54B54" w:rsidP="00D54B54">
      <w:pPr>
        <w:keepNext/>
        <w:spacing w:line="480" w:lineRule="auto"/>
        <w:ind w:left="720" w:hanging="720"/>
        <w:jc w:val="both"/>
        <w:rPr>
          <w:b/>
          <w:caps/>
        </w:rPr>
      </w:pPr>
      <w:r w:rsidRPr="007114B7">
        <w:rPr>
          <w:b/>
          <w:caps/>
        </w:rPr>
        <w:t>Q</w:t>
      </w:r>
      <w:r w:rsidRPr="007114B7">
        <w:rPr>
          <w:b/>
          <w:caps/>
        </w:rPr>
        <w:tab/>
        <w:t xml:space="preserve">DO YOU </w:t>
      </w:r>
      <w:r w:rsidRPr="007114B7">
        <w:rPr>
          <w:b/>
          <w:bCs/>
          <w:caps/>
        </w:rPr>
        <w:t>CONSIDER</w:t>
      </w:r>
      <w:r w:rsidRPr="007114B7">
        <w:rPr>
          <w:b/>
          <w:caps/>
        </w:rPr>
        <w:t xml:space="preserve"> OTHER SOURCES OF PROJECTED LONG-TERM GDP GROWTH?</w:t>
      </w:r>
    </w:p>
    <w:p w14:paraId="6E46EEED" w14:textId="77777777" w:rsidR="00D54B54" w:rsidRPr="007114B7" w:rsidRDefault="00D54B54" w:rsidP="00D54B54">
      <w:pPr>
        <w:spacing w:line="480" w:lineRule="auto"/>
        <w:ind w:left="720" w:hanging="720"/>
        <w:jc w:val="both"/>
      </w:pPr>
      <w:r w:rsidRPr="007114B7">
        <w:t>A</w:t>
      </w:r>
      <w:r w:rsidRPr="007114B7">
        <w:tab/>
        <w:t>Yes, and these alternative sources corroborate the consensus analysts</w:t>
      </w:r>
      <w:r>
        <w:t>’</w:t>
      </w:r>
      <w:r w:rsidRPr="007114B7">
        <w:t xml:space="preserve"> projections I relied on.  Various commonly relied upon analysts</w:t>
      </w:r>
      <w:r>
        <w:t>’</w:t>
      </w:r>
      <w:r w:rsidRPr="007114B7">
        <w:t xml:space="preserve"> </w:t>
      </w:r>
      <w:r>
        <w:t>projections are shown in Table 4</w:t>
      </w:r>
      <w:r w:rsidRPr="007114B7">
        <w:t xml:space="preserve"> below. </w:t>
      </w:r>
    </w:p>
    <w:p w14:paraId="3248FECC" w14:textId="77777777" w:rsidR="00D54B54" w:rsidRPr="007114B7" w:rsidRDefault="00D54B54" w:rsidP="00D54B54">
      <w:pPr>
        <w:suppressLineNumbers/>
        <w:spacing w:line="480" w:lineRule="auto"/>
        <w:ind w:left="720" w:hanging="274"/>
        <w:jc w:val="center"/>
      </w:pPr>
      <w:r w:rsidRPr="00B92045">
        <w:rPr>
          <w:noProof/>
        </w:rPr>
        <w:lastRenderedPageBreak/>
        <w:drawing>
          <wp:inline distT="0" distB="0" distL="0" distR="0" wp14:anchorId="01680F54" wp14:editId="1020AC5C">
            <wp:extent cx="5057775" cy="25622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057775" cy="2562225"/>
                    </a:xfrm>
                    <a:prstGeom prst="rect">
                      <a:avLst/>
                    </a:prstGeom>
                    <a:noFill/>
                    <a:ln>
                      <a:noFill/>
                    </a:ln>
                  </pic:spPr>
                </pic:pic>
              </a:graphicData>
            </a:graphic>
          </wp:inline>
        </w:drawing>
      </w:r>
    </w:p>
    <w:p w14:paraId="3563A5F6" w14:textId="77777777" w:rsidR="00D54B54" w:rsidRPr="007114B7" w:rsidRDefault="00D54B54" w:rsidP="00D54B54">
      <w:pPr>
        <w:spacing w:line="480" w:lineRule="auto"/>
        <w:ind w:left="720" w:firstLine="720"/>
        <w:jc w:val="both"/>
      </w:pPr>
      <w:r w:rsidRPr="007114B7">
        <w:t xml:space="preserve">The </w:t>
      </w:r>
      <w:proofErr w:type="spellStart"/>
      <w:r w:rsidRPr="007114B7">
        <w:t>EIA</w:t>
      </w:r>
      <w:proofErr w:type="spellEnd"/>
      <w:r w:rsidRPr="007114B7">
        <w:t xml:space="preserve"> in its </w:t>
      </w:r>
      <w:r w:rsidRPr="007114B7">
        <w:rPr>
          <w:i/>
        </w:rPr>
        <w:t>Annual Energy Outlook</w:t>
      </w:r>
      <w:r w:rsidRPr="007114B7">
        <w:t xml:space="preserve"> projects real GDP out until 2050.  In its 2020 Annual Report, the </w:t>
      </w:r>
      <w:proofErr w:type="spellStart"/>
      <w:r w:rsidRPr="007114B7">
        <w:t>EIA</w:t>
      </w:r>
      <w:proofErr w:type="spellEnd"/>
      <w:r w:rsidRPr="007114B7">
        <w:t xml:space="preserve"> projects</w:t>
      </w:r>
      <w:r>
        <w:t xml:space="preserve"> real GDP through 2050 to be 2.04</w:t>
      </w:r>
      <w:r w:rsidRPr="007114B7">
        <w:t>% and a long</w:t>
      </w:r>
      <w:r w:rsidRPr="007114B7">
        <w:noBreakHyphen/>
        <w:t>term GDP p</w:t>
      </w:r>
      <w:r>
        <w:t>rice inflation projection of 2.34</w:t>
      </w:r>
      <w:r w:rsidRPr="007114B7">
        <w:t xml:space="preserve">%.  The </w:t>
      </w:r>
      <w:proofErr w:type="spellStart"/>
      <w:r w:rsidRPr="007114B7">
        <w:t>EIA</w:t>
      </w:r>
      <w:proofErr w:type="spellEnd"/>
      <w:r w:rsidRPr="007114B7">
        <w:t xml:space="preserve"> data supports a long-term n</w:t>
      </w:r>
      <w:r>
        <w:t>ominal GDP growth outlook of 4.42</w:t>
      </w:r>
      <w:r w:rsidRPr="007114B7">
        <w:t>%.</w:t>
      </w:r>
      <w:r w:rsidRPr="007114B7">
        <w:rPr>
          <w:vertAlign w:val="superscript"/>
        </w:rPr>
        <w:footnoteReference w:id="23"/>
      </w:r>
      <w:r w:rsidRPr="007114B7">
        <w:t xml:space="preserve">  </w:t>
      </w:r>
    </w:p>
    <w:p w14:paraId="4AE29DA4" w14:textId="77777777" w:rsidR="00D54B54" w:rsidRPr="007114B7" w:rsidRDefault="00D54B54" w:rsidP="00D54B54">
      <w:pPr>
        <w:spacing w:line="480" w:lineRule="auto"/>
        <w:ind w:left="720" w:hanging="720"/>
        <w:jc w:val="both"/>
      </w:pPr>
      <w:r w:rsidRPr="007114B7">
        <w:tab/>
      </w:r>
      <w:r w:rsidRPr="007114B7">
        <w:tab/>
        <w:t>Also, the Congressional Budget Office (</w:t>
      </w:r>
      <w:r>
        <w:t>“</w:t>
      </w:r>
      <w:r w:rsidRPr="007114B7">
        <w:t>CBO</w:t>
      </w:r>
      <w:r>
        <w:t>”</w:t>
      </w:r>
      <w:r w:rsidRPr="007114B7">
        <w:t>) makes long-term economic projections.  The CBO is projecting real GDP growth to be 1.</w:t>
      </w:r>
      <w:r>
        <w:t>77</w:t>
      </w:r>
      <w:r w:rsidRPr="007114B7">
        <w:t>% during the next nine years, with a GD</w:t>
      </w:r>
      <w:r>
        <w:t>P price inflation outlook of 2.12</w:t>
      </w:r>
      <w:r w:rsidRPr="007114B7">
        <w:t>%.  The CBO</w:t>
      </w:r>
      <w:r>
        <w:t>’</w:t>
      </w:r>
      <w:r w:rsidRPr="007114B7">
        <w:t>s nine-year outlook for nominal GDP based on this projection is 3.</w:t>
      </w:r>
      <w:r>
        <w:t>93</w:t>
      </w:r>
      <w:r w:rsidRPr="007114B7">
        <w:t>%.</w:t>
      </w:r>
      <w:r w:rsidRPr="007114B7">
        <w:rPr>
          <w:vertAlign w:val="superscript"/>
        </w:rPr>
        <w:footnoteReference w:id="24"/>
      </w:r>
    </w:p>
    <w:p w14:paraId="72C67D28" w14:textId="77777777" w:rsidR="00D54B54" w:rsidRPr="007114B7" w:rsidRDefault="00D54B54" w:rsidP="00D54B54">
      <w:pPr>
        <w:spacing w:line="480" w:lineRule="auto"/>
        <w:ind w:left="720" w:hanging="720"/>
        <w:jc w:val="both"/>
      </w:pPr>
      <w:r w:rsidRPr="007114B7">
        <w:tab/>
      </w:r>
      <w:r w:rsidRPr="007114B7">
        <w:tab/>
        <w:t>Moody</w:t>
      </w:r>
      <w:r>
        <w:t>’</w:t>
      </w:r>
      <w:r w:rsidRPr="007114B7">
        <w:t>s Analytics also makes long-term economic projections.  In its rec</w:t>
      </w:r>
      <w:r>
        <w:t>ent over 25</w:t>
      </w:r>
      <w:r>
        <w:noBreakHyphen/>
        <w:t>year outlook to 2050</w:t>
      </w:r>
      <w:r w:rsidRPr="007114B7">
        <w:t>, Moody</w:t>
      </w:r>
      <w:r>
        <w:t>’</w:t>
      </w:r>
      <w:r w:rsidRPr="007114B7">
        <w:t>s Analytics is p</w:t>
      </w:r>
      <w:r>
        <w:t>rojecting real GDP growth of 2.07</w:t>
      </w:r>
      <w:r w:rsidRPr="007114B7">
        <w:t>% with GDP inflation of 1.8</w:t>
      </w:r>
      <w:r>
        <w:t>3</w:t>
      </w:r>
      <w:r w:rsidRPr="007114B7">
        <w:t>%.</w:t>
      </w:r>
      <w:r w:rsidRPr="007114B7">
        <w:rPr>
          <w:vertAlign w:val="superscript"/>
        </w:rPr>
        <w:footnoteReference w:id="25"/>
      </w:r>
      <w:r w:rsidRPr="007114B7">
        <w:t xml:space="preserve">  Based on these projections, Moody</w:t>
      </w:r>
      <w:r>
        <w:t>’</w:t>
      </w:r>
      <w:r w:rsidRPr="007114B7">
        <w:t>s Analytics is projecting nominal GDP</w:t>
      </w:r>
      <w:r>
        <w:t xml:space="preserve"> growth of 3.94% over the next 28</w:t>
      </w:r>
      <w:r w:rsidRPr="007114B7">
        <w:t xml:space="preserve"> years.</w:t>
      </w:r>
    </w:p>
    <w:p w14:paraId="43BC6CE7" w14:textId="77777777" w:rsidR="00D54B54" w:rsidRPr="007114B7" w:rsidRDefault="00D54B54" w:rsidP="00D54B54">
      <w:pPr>
        <w:spacing w:line="480" w:lineRule="auto"/>
        <w:ind w:left="720" w:hanging="720"/>
        <w:jc w:val="both"/>
      </w:pPr>
      <w:r w:rsidRPr="007114B7">
        <w:lastRenderedPageBreak/>
        <w:tab/>
      </w:r>
      <w:r w:rsidRPr="007114B7">
        <w:tab/>
        <w:t>The Social Security Administration (</w:t>
      </w:r>
      <w:r>
        <w:t>“</w:t>
      </w:r>
      <w:proofErr w:type="spellStart"/>
      <w:r w:rsidRPr="007114B7">
        <w:t>SSA</w:t>
      </w:r>
      <w:proofErr w:type="spellEnd"/>
      <w:r>
        <w:t>”</w:t>
      </w:r>
      <w:r w:rsidRPr="007114B7">
        <w:t xml:space="preserve">) makes long-term economic projections out to 2095.  The </w:t>
      </w:r>
      <w:proofErr w:type="spellStart"/>
      <w:r w:rsidRPr="007114B7">
        <w:t>SSA</w:t>
      </w:r>
      <w:r>
        <w:t>’</w:t>
      </w:r>
      <w:r w:rsidRPr="007114B7">
        <w:t>s</w:t>
      </w:r>
      <w:proofErr w:type="spellEnd"/>
      <w:r w:rsidRPr="007114B7">
        <w:t xml:space="preserve"> nominal GDP projection, under its </w:t>
      </w:r>
      <w:r>
        <w:t>“</w:t>
      </w:r>
      <w:r w:rsidRPr="007114B7">
        <w:t>intermediate co</w:t>
      </w:r>
      <w:r>
        <w:t>st” scenario of approximately 50 years, is 4.08</w:t>
      </w:r>
      <w:r w:rsidRPr="007114B7">
        <w:t>%.</w:t>
      </w:r>
      <w:r w:rsidRPr="007114B7">
        <w:rPr>
          <w:vertAlign w:val="superscript"/>
        </w:rPr>
        <w:footnoteReference w:id="26"/>
      </w:r>
    </w:p>
    <w:p w14:paraId="2EAAC00C" w14:textId="77777777" w:rsidR="00D54B54" w:rsidRPr="007114B7" w:rsidRDefault="00D54B54" w:rsidP="00D54B54">
      <w:pPr>
        <w:spacing w:line="480" w:lineRule="auto"/>
        <w:ind w:left="720" w:firstLine="720"/>
        <w:jc w:val="both"/>
      </w:pPr>
      <w:r w:rsidRPr="007114B7">
        <w:rPr>
          <w:rFonts w:eastAsia="Calibri"/>
        </w:rPr>
        <w:t>The Economist Intelligence Unit, a division of The Economist and a third-party data provider to MI, makes a long-term economic projection out to 2050.  The Economist Intelligence Unit is projecting real GDP growth of 1.8</w:t>
      </w:r>
      <w:r>
        <w:rPr>
          <w:rFonts w:eastAsia="Calibri"/>
        </w:rPr>
        <w:t>1</w:t>
      </w:r>
      <w:r w:rsidRPr="007114B7">
        <w:rPr>
          <w:rFonts w:eastAsia="Calibri"/>
        </w:rPr>
        <w:t>% with an inflation rate of 2.0</w:t>
      </w:r>
      <w:r>
        <w:rPr>
          <w:rFonts w:eastAsia="Calibri"/>
        </w:rPr>
        <w:t>1</w:t>
      </w:r>
      <w:r w:rsidRPr="007114B7">
        <w:rPr>
          <w:rFonts w:eastAsia="Calibri"/>
        </w:rPr>
        <w:t xml:space="preserve">% out to 2050.  The real GDP growth projection is in line with the consensus.  The long-term nominal GDP projection based on these outlooks is approximately </w:t>
      </w:r>
      <w:r>
        <w:rPr>
          <w:rFonts w:eastAsia="Calibri"/>
        </w:rPr>
        <w:t>3.85</w:t>
      </w:r>
      <w:r w:rsidRPr="007114B7">
        <w:rPr>
          <w:rFonts w:eastAsia="Calibri"/>
        </w:rPr>
        <w:t>%.</w:t>
      </w:r>
      <w:r w:rsidRPr="007114B7">
        <w:rPr>
          <w:rFonts w:eastAsia="Calibri"/>
          <w:vertAlign w:val="superscript"/>
        </w:rPr>
        <w:footnoteReference w:id="27"/>
      </w:r>
    </w:p>
    <w:p w14:paraId="679655F0" w14:textId="77777777" w:rsidR="00D54B54" w:rsidRPr="007114B7" w:rsidRDefault="00D54B54" w:rsidP="00D54B54">
      <w:pPr>
        <w:spacing w:line="480" w:lineRule="auto"/>
        <w:ind w:left="720" w:hanging="720"/>
        <w:jc w:val="both"/>
      </w:pPr>
      <w:r w:rsidRPr="007114B7">
        <w:tab/>
      </w:r>
      <w:r w:rsidRPr="007114B7">
        <w:tab/>
        <w:t>The real GDP and nominal GDP growth projections made by these independent sources support my use of 4.35% as a reasonable estimate of market participants</w:t>
      </w:r>
      <w:r>
        <w:t>’</w:t>
      </w:r>
      <w:r w:rsidRPr="007114B7">
        <w:t xml:space="preserve"> expectations for long</w:t>
      </w:r>
      <w:r w:rsidRPr="007114B7">
        <w:noBreakHyphen/>
        <w:t>term GDP growth.</w:t>
      </w:r>
    </w:p>
    <w:p w14:paraId="0D6BC044" w14:textId="77777777" w:rsidR="00D54B54" w:rsidRPr="007114B7" w:rsidRDefault="00D54B54" w:rsidP="00D54B54">
      <w:pPr>
        <w:suppressLineNumbers/>
        <w:spacing w:line="480" w:lineRule="auto"/>
        <w:ind w:left="720" w:hanging="720"/>
        <w:jc w:val="both"/>
        <w:rPr>
          <w:color w:val="000000"/>
        </w:rPr>
      </w:pPr>
    </w:p>
    <w:p w14:paraId="79BBAFA4" w14:textId="77777777" w:rsidR="00D54B54" w:rsidRPr="007114B7" w:rsidRDefault="00D54B54" w:rsidP="00D54B54">
      <w:pPr>
        <w:keepNext/>
        <w:spacing w:line="480" w:lineRule="auto"/>
        <w:ind w:left="720" w:hanging="720"/>
        <w:jc w:val="both"/>
        <w:rPr>
          <w:b/>
          <w:caps/>
        </w:rPr>
      </w:pPr>
      <w:r w:rsidRPr="007114B7">
        <w:rPr>
          <w:b/>
          <w:caps/>
        </w:rPr>
        <w:t>Q</w:t>
      </w:r>
      <w:r w:rsidRPr="007114B7">
        <w:rPr>
          <w:b/>
          <w:caps/>
        </w:rPr>
        <w:tab/>
        <w:t xml:space="preserve">WHAT STOCK </w:t>
      </w:r>
      <w:r w:rsidRPr="007114B7">
        <w:rPr>
          <w:b/>
          <w:bCs/>
          <w:caps/>
        </w:rPr>
        <w:t>PRICE</w:t>
      </w:r>
      <w:r w:rsidRPr="007114B7">
        <w:rPr>
          <w:b/>
          <w:caps/>
        </w:rPr>
        <w:t>, DIVIDEND, AND GROWTH RATES DID YOU USE IN YOUR MULTI-STAGE GROWTH DCF ANALYSIS?</w:t>
      </w:r>
    </w:p>
    <w:p w14:paraId="304E1699" w14:textId="77777777" w:rsidR="00D54B54" w:rsidRPr="007114B7" w:rsidRDefault="00D54B54" w:rsidP="00D54B54">
      <w:pPr>
        <w:spacing w:line="480" w:lineRule="auto"/>
        <w:ind w:left="720" w:hanging="720"/>
        <w:jc w:val="both"/>
      </w:pPr>
      <w:r w:rsidRPr="007114B7">
        <w:t>A</w:t>
      </w:r>
      <w:r w:rsidRPr="007114B7">
        <w:tab/>
        <w:t>I relied on the same 13-week average stock prices and the most recent quarterly dividend payment data discussed above.  For stage one growth, I used the consensus analysts</w:t>
      </w:r>
      <w:r>
        <w:t>’</w:t>
      </w:r>
      <w:r w:rsidRPr="007114B7">
        <w:t xml:space="preserve"> growth rate projections discussed above in my constant growth DCF model.  The first stage covers the first five years, consistent with the time horizon of the securities analysts</w:t>
      </w:r>
      <w:r>
        <w:t>’</w:t>
      </w:r>
      <w:r w:rsidRPr="007114B7">
        <w:t xml:space="preserve"> growth rate projections.  The second stage, or transition stage, begins in year 6 and extends through year 10.  The second stage growth transitions the growth rate from the first stage to the third stage using a straight linear trend.  For the third stage, or long</w:t>
      </w:r>
      <w:r w:rsidRPr="007114B7">
        <w:noBreakHyphen/>
        <w:t xml:space="preserve">term sustainable growth stage, starting in year 11, I used a </w:t>
      </w:r>
      <w:r w:rsidRPr="007114B7">
        <w:lastRenderedPageBreak/>
        <w:t>4.35% long-term sustainable growth rate based on the consensus economists</w:t>
      </w:r>
      <w:r>
        <w:t>’</w:t>
      </w:r>
      <w:r w:rsidRPr="007114B7">
        <w:t xml:space="preserve"> long-term projected nominal GDP growth rate.</w:t>
      </w:r>
    </w:p>
    <w:p w14:paraId="3EC5B456" w14:textId="77777777" w:rsidR="00D54B54" w:rsidRPr="007114B7" w:rsidRDefault="00D54B54" w:rsidP="00D54B54">
      <w:pPr>
        <w:suppressLineNumbers/>
        <w:spacing w:line="480" w:lineRule="auto"/>
        <w:ind w:left="720" w:hanging="720"/>
        <w:jc w:val="both"/>
        <w:rPr>
          <w:color w:val="000000"/>
        </w:rPr>
      </w:pPr>
    </w:p>
    <w:p w14:paraId="41A42F65" w14:textId="77777777" w:rsidR="00D54B54" w:rsidRPr="007114B7" w:rsidRDefault="00D54B54" w:rsidP="00D54B54">
      <w:pPr>
        <w:keepNext/>
        <w:spacing w:line="480" w:lineRule="auto"/>
        <w:ind w:left="720" w:hanging="720"/>
        <w:jc w:val="both"/>
        <w:rPr>
          <w:b/>
          <w:caps/>
        </w:rPr>
      </w:pPr>
      <w:r w:rsidRPr="007114B7">
        <w:rPr>
          <w:b/>
          <w:caps/>
        </w:rPr>
        <w:t>Q</w:t>
      </w:r>
      <w:r w:rsidRPr="007114B7">
        <w:rPr>
          <w:b/>
          <w:caps/>
        </w:rPr>
        <w:tab/>
        <w:t>WHAT ARE THE RESULTS OF YOUR MULTI-STAGE GROWTH DCF MODEL?</w:t>
      </w:r>
    </w:p>
    <w:p w14:paraId="52BAFB99" w14:textId="77777777" w:rsidR="00D54B54" w:rsidRPr="007114B7" w:rsidRDefault="00D54B54" w:rsidP="00D54B54">
      <w:pPr>
        <w:spacing w:line="480" w:lineRule="auto"/>
        <w:ind w:left="720" w:hanging="720"/>
        <w:jc w:val="both"/>
      </w:pPr>
      <w:r w:rsidRPr="007114B7">
        <w:t>A</w:t>
      </w:r>
      <w:r w:rsidRPr="007114B7">
        <w:tab/>
        <w:t xml:space="preserve">As shown in </w:t>
      </w:r>
      <w:r w:rsidRPr="00E92E03">
        <w:t>Exhibit MPG-10</w:t>
      </w:r>
      <w:r w:rsidRPr="007114B7">
        <w:t>, the average and median DCF returns on equity for my proxy group using the 13-week average stock price are 8.0</w:t>
      </w:r>
      <w:r>
        <w:t>6</w:t>
      </w:r>
      <w:r w:rsidRPr="007114B7">
        <w:t>% and 8.1</w:t>
      </w:r>
      <w:r>
        <w:t>2</w:t>
      </w:r>
      <w:r w:rsidRPr="007114B7">
        <w:t xml:space="preserve">%, respectively.  </w:t>
      </w:r>
    </w:p>
    <w:p w14:paraId="6A53087A" w14:textId="77777777" w:rsidR="00D54B54" w:rsidRPr="007114B7" w:rsidRDefault="00D54B54" w:rsidP="00D54B54">
      <w:pPr>
        <w:suppressLineNumbers/>
        <w:spacing w:line="480" w:lineRule="auto"/>
        <w:ind w:left="720" w:hanging="720"/>
        <w:jc w:val="both"/>
        <w:rPr>
          <w:color w:val="000000"/>
        </w:rPr>
      </w:pPr>
    </w:p>
    <w:p w14:paraId="0E791FBE" w14:textId="77777777" w:rsidR="00D54B54" w:rsidRPr="007114B7" w:rsidRDefault="00D54B54" w:rsidP="00D54B54">
      <w:pPr>
        <w:pStyle w:val="Heading2"/>
      </w:pPr>
      <w:bookmarkStart w:id="66" w:name="_Toc83990839"/>
      <w:bookmarkStart w:id="67" w:name="_Toc84318883"/>
      <w:bookmarkStart w:id="68" w:name="_Toc85028732"/>
      <w:proofErr w:type="spellStart"/>
      <w:r w:rsidRPr="0083647D">
        <w:rPr>
          <w:rFonts w:cs="Arial"/>
          <w:caps/>
        </w:rPr>
        <w:t>I</w:t>
      </w:r>
      <w:r>
        <w:rPr>
          <w:rFonts w:cs="Arial"/>
          <w:caps/>
        </w:rPr>
        <w:t>I</w:t>
      </w:r>
      <w:r w:rsidRPr="0083647D">
        <w:rPr>
          <w:rFonts w:cs="Arial"/>
          <w:caps/>
        </w:rPr>
        <w:t>I</w:t>
      </w:r>
      <w:r w:rsidRPr="0083647D">
        <w:rPr>
          <w:rFonts w:cs="Arial"/>
        </w:rPr>
        <w:t>.E</w:t>
      </w:r>
      <w:proofErr w:type="spellEnd"/>
      <w:r w:rsidRPr="0083647D">
        <w:rPr>
          <w:rFonts w:cs="Arial"/>
        </w:rPr>
        <w:t>.</w:t>
      </w:r>
      <w:r w:rsidRPr="007114B7">
        <w:t xml:space="preserve">  DCF Summary Results</w:t>
      </w:r>
      <w:bookmarkEnd w:id="66"/>
      <w:bookmarkEnd w:id="67"/>
      <w:bookmarkEnd w:id="68"/>
    </w:p>
    <w:p w14:paraId="57C37352" w14:textId="77777777" w:rsidR="00D54B54" w:rsidRPr="007114B7" w:rsidRDefault="00D54B54" w:rsidP="00D54B54">
      <w:pPr>
        <w:spacing w:line="480" w:lineRule="auto"/>
        <w:ind w:left="720" w:hanging="720"/>
        <w:jc w:val="both"/>
        <w:rPr>
          <w:b/>
          <w:caps/>
        </w:rPr>
      </w:pPr>
      <w:r w:rsidRPr="007114B7">
        <w:rPr>
          <w:b/>
          <w:caps/>
        </w:rPr>
        <w:t>Q</w:t>
      </w:r>
      <w:r w:rsidRPr="007114B7">
        <w:rPr>
          <w:b/>
          <w:caps/>
        </w:rPr>
        <w:tab/>
        <w:t xml:space="preserve">PLEASE SUMMARIZE THE </w:t>
      </w:r>
      <w:r w:rsidRPr="007114B7">
        <w:rPr>
          <w:b/>
          <w:bCs/>
          <w:caps/>
        </w:rPr>
        <w:t>RESULTS</w:t>
      </w:r>
      <w:r w:rsidRPr="007114B7">
        <w:rPr>
          <w:b/>
          <w:caps/>
        </w:rPr>
        <w:t xml:space="preserve"> FROM YOUR DCF ANALYSES.</w:t>
      </w:r>
    </w:p>
    <w:p w14:paraId="002BEC95" w14:textId="77777777" w:rsidR="00D54B54" w:rsidRPr="007114B7" w:rsidRDefault="00D54B54" w:rsidP="00D54B54">
      <w:pPr>
        <w:spacing w:line="480" w:lineRule="auto"/>
        <w:ind w:left="720" w:hanging="720"/>
        <w:jc w:val="both"/>
      </w:pPr>
      <w:r w:rsidRPr="007114B7">
        <w:t>A</w:t>
      </w:r>
      <w:r w:rsidRPr="007114B7">
        <w:tab/>
        <w:t>The results from my DCF an</w:t>
      </w:r>
      <w:r>
        <w:t>alyses are summarized in Table 5</w:t>
      </w:r>
      <w:r w:rsidRPr="007114B7">
        <w:t xml:space="preserve"> below:</w:t>
      </w:r>
    </w:p>
    <w:tbl>
      <w:tblPr>
        <w:tblW w:w="8815" w:type="dxa"/>
        <w:jc w:val="center"/>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575"/>
        <w:gridCol w:w="1620"/>
        <w:gridCol w:w="1620"/>
      </w:tblGrid>
      <w:tr w:rsidR="00D54B54" w:rsidRPr="007114B7" w14:paraId="09BF4CCA" w14:textId="77777777" w:rsidTr="006435B1">
        <w:trPr>
          <w:trHeight w:val="20"/>
          <w:jc w:val="center"/>
        </w:trPr>
        <w:tc>
          <w:tcPr>
            <w:tcW w:w="8815" w:type="dxa"/>
            <w:gridSpan w:val="3"/>
          </w:tcPr>
          <w:p w14:paraId="301FB0CD" w14:textId="77777777" w:rsidR="00D54B54" w:rsidRPr="007114B7" w:rsidRDefault="00D54B54" w:rsidP="006435B1">
            <w:pPr>
              <w:ind w:left="720" w:hanging="720"/>
              <w:jc w:val="center"/>
              <w:rPr>
                <w:b/>
              </w:rPr>
            </w:pPr>
          </w:p>
          <w:p w14:paraId="4ACE6371" w14:textId="77777777" w:rsidR="00D54B54" w:rsidRPr="007114B7" w:rsidRDefault="00D54B54" w:rsidP="006435B1">
            <w:pPr>
              <w:jc w:val="center"/>
              <w:rPr>
                <w:b/>
              </w:rPr>
            </w:pPr>
            <w:r>
              <w:rPr>
                <w:b/>
              </w:rPr>
              <w:t>TABLE 5</w:t>
            </w:r>
          </w:p>
          <w:p w14:paraId="6AC9CC67" w14:textId="77777777" w:rsidR="00D54B54" w:rsidRPr="007114B7" w:rsidRDefault="00D54B54" w:rsidP="006435B1">
            <w:pPr>
              <w:ind w:left="720" w:hanging="720"/>
              <w:jc w:val="center"/>
              <w:rPr>
                <w:b/>
              </w:rPr>
            </w:pPr>
          </w:p>
          <w:p w14:paraId="5AB369E7" w14:textId="77777777" w:rsidR="00D54B54" w:rsidRPr="007114B7" w:rsidRDefault="00D54B54" w:rsidP="006435B1">
            <w:pPr>
              <w:ind w:left="720" w:hanging="720"/>
              <w:jc w:val="center"/>
              <w:rPr>
                <w:b/>
                <w:u w:val="single"/>
              </w:rPr>
            </w:pPr>
            <w:r w:rsidRPr="007114B7">
              <w:rPr>
                <w:b/>
                <w:u w:val="single"/>
              </w:rPr>
              <w:t>Summary of DCF Results</w:t>
            </w:r>
          </w:p>
          <w:p w14:paraId="2FF29EB5" w14:textId="77777777" w:rsidR="00D54B54" w:rsidRPr="007114B7" w:rsidRDefault="00D54B54" w:rsidP="006435B1">
            <w:pPr>
              <w:ind w:left="720" w:hanging="720"/>
              <w:jc w:val="center"/>
              <w:rPr>
                <w:b/>
              </w:rPr>
            </w:pPr>
          </w:p>
        </w:tc>
      </w:tr>
      <w:tr w:rsidR="00D54B54" w:rsidRPr="007114B7" w14:paraId="14545840" w14:textId="77777777" w:rsidTr="006435B1">
        <w:trPr>
          <w:trHeight w:val="20"/>
          <w:jc w:val="center"/>
        </w:trPr>
        <w:tc>
          <w:tcPr>
            <w:tcW w:w="5575" w:type="dxa"/>
            <w:vAlign w:val="center"/>
          </w:tcPr>
          <w:p w14:paraId="0AF19C5B" w14:textId="77777777" w:rsidR="00D54B54" w:rsidRPr="007114B7" w:rsidRDefault="00D54B54" w:rsidP="006435B1">
            <w:pPr>
              <w:ind w:left="687" w:hanging="525"/>
              <w:rPr>
                <w:b/>
                <w:u w:val="single"/>
              </w:rPr>
            </w:pPr>
            <w:r w:rsidRPr="007114B7">
              <w:rPr>
                <w:b/>
                <w:u w:val="single"/>
              </w:rPr>
              <w:t>_____________Description__________________</w:t>
            </w:r>
          </w:p>
        </w:tc>
        <w:tc>
          <w:tcPr>
            <w:tcW w:w="1620" w:type="dxa"/>
            <w:vAlign w:val="center"/>
          </w:tcPr>
          <w:p w14:paraId="720800A9" w14:textId="77777777" w:rsidR="00D54B54" w:rsidRPr="007114B7" w:rsidRDefault="00D54B54" w:rsidP="006435B1">
            <w:pPr>
              <w:ind w:left="720" w:hanging="720"/>
              <w:jc w:val="center"/>
              <w:rPr>
                <w:b/>
                <w:u w:val="single"/>
              </w:rPr>
            </w:pPr>
            <w:r w:rsidRPr="007114B7">
              <w:rPr>
                <w:b/>
                <w:u w:val="single"/>
              </w:rPr>
              <w:t>   Average   </w:t>
            </w:r>
          </w:p>
        </w:tc>
        <w:tc>
          <w:tcPr>
            <w:tcW w:w="1620" w:type="dxa"/>
          </w:tcPr>
          <w:p w14:paraId="380E36AD" w14:textId="77777777" w:rsidR="00D54B54" w:rsidRPr="007114B7" w:rsidRDefault="00D54B54" w:rsidP="006435B1">
            <w:pPr>
              <w:ind w:left="720" w:hanging="720"/>
              <w:jc w:val="center"/>
              <w:rPr>
                <w:b/>
                <w:u w:val="single"/>
              </w:rPr>
            </w:pPr>
            <w:r w:rsidRPr="007114B7">
              <w:rPr>
                <w:b/>
                <w:u w:val="single"/>
              </w:rPr>
              <w:t>Median</w:t>
            </w:r>
          </w:p>
        </w:tc>
      </w:tr>
      <w:tr w:rsidR="00D54B54" w:rsidRPr="007114B7" w14:paraId="4F71C222" w14:textId="77777777" w:rsidTr="006435B1">
        <w:trPr>
          <w:trHeight w:val="20"/>
          <w:jc w:val="center"/>
        </w:trPr>
        <w:tc>
          <w:tcPr>
            <w:tcW w:w="5575" w:type="dxa"/>
            <w:vAlign w:val="center"/>
          </w:tcPr>
          <w:p w14:paraId="02CA5B15" w14:textId="77777777" w:rsidR="00D54B54" w:rsidRPr="007114B7" w:rsidRDefault="00D54B54" w:rsidP="006435B1">
            <w:pPr>
              <w:ind w:left="687" w:hanging="525"/>
              <w:rPr>
                <w:b/>
                <w:u w:val="single"/>
              </w:rPr>
            </w:pPr>
          </w:p>
        </w:tc>
        <w:tc>
          <w:tcPr>
            <w:tcW w:w="1620" w:type="dxa"/>
            <w:vAlign w:val="center"/>
          </w:tcPr>
          <w:p w14:paraId="2814E137" w14:textId="77777777" w:rsidR="00D54B54" w:rsidRPr="007114B7" w:rsidRDefault="00D54B54" w:rsidP="006435B1">
            <w:pPr>
              <w:ind w:left="720" w:hanging="720"/>
              <w:jc w:val="center"/>
              <w:rPr>
                <w:b/>
                <w:u w:val="single"/>
              </w:rPr>
            </w:pPr>
          </w:p>
        </w:tc>
        <w:tc>
          <w:tcPr>
            <w:tcW w:w="1620" w:type="dxa"/>
          </w:tcPr>
          <w:p w14:paraId="4410B161" w14:textId="77777777" w:rsidR="00D54B54" w:rsidRPr="007114B7" w:rsidRDefault="00D54B54" w:rsidP="006435B1">
            <w:pPr>
              <w:ind w:left="720" w:hanging="720"/>
              <w:jc w:val="center"/>
              <w:rPr>
                <w:b/>
                <w:u w:val="single"/>
              </w:rPr>
            </w:pPr>
          </w:p>
        </w:tc>
      </w:tr>
      <w:tr w:rsidR="00D54B54" w:rsidRPr="007114B7" w14:paraId="63E7DAF4" w14:textId="77777777" w:rsidTr="006435B1">
        <w:trPr>
          <w:trHeight w:val="144"/>
          <w:jc w:val="center"/>
        </w:trPr>
        <w:tc>
          <w:tcPr>
            <w:tcW w:w="5575" w:type="dxa"/>
          </w:tcPr>
          <w:p w14:paraId="5A3181C5" w14:textId="77777777" w:rsidR="00D54B54" w:rsidRPr="007114B7" w:rsidRDefault="00D54B54" w:rsidP="006435B1">
            <w:pPr>
              <w:spacing w:line="480" w:lineRule="auto"/>
              <w:ind w:left="878" w:hanging="720"/>
              <w:jc w:val="both"/>
            </w:pPr>
            <w:r w:rsidRPr="007114B7">
              <w:t>Constant Growth DCF Model (Analysts</w:t>
            </w:r>
            <w:r>
              <w:t>’</w:t>
            </w:r>
            <w:r w:rsidRPr="007114B7">
              <w:t xml:space="preserve"> Growth)</w:t>
            </w:r>
          </w:p>
        </w:tc>
        <w:tc>
          <w:tcPr>
            <w:tcW w:w="1620" w:type="dxa"/>
          </w:tcPr>
          <w:p w14:paraId="384C403A" w14:textId="77777777" w:rsidR="00D54B54" w:rsidRPr="007114B7" w:rsidRDefault="00D54B54" w:rsidP="006435B1">
            <w:pPr>
              <w:spacing w:line="480" w:lineRule="auto"/>
              <w:ind w:left="720" w:hanging="720"/>
              <w:jc w:val="center"/>
              <w:rPr>
                <w:bCs/>
              </w:rPr>
            </w:pPr>
            <w:r w:rsidRPr="007114B7">
              <w:rPr>
                <w:bCs/>
              </w:rPr>
              <w:t>9.</w:t>
            </w:r>
            <w:r>
              <w:rPr>
                <w:bCs/>
              </w:rPr>
              <w:t>07</w:t>
            </w:r>
            <w:r w:rsidRPr="007114B7">
              <w:rPr>
                <w:bCs/>
              </w:rPr>
              <w:t>%</w:t>
            </w:r>
          </w:p>
        </w:tc>
        <w:tc>
          <w:tcPr>
            <w:tcW w:w="1620" w:type="dxa"/>
          </w:tcPr>
          <w:p w14:paraId="6048CCDB" w14:textId="77777777" w:rsidR="00D54B54" w:rsidRPr="007114B7" w:rsidRDefault="00D54B54" w:rsidP="006435B1">
            <w:pPr>
              <w:spacing w:line="480" w:lineRule="auto"/>
              <w:ind w:left="720" w:hanging="720"/>
              <w:jc w:val="center"/>
              <w:rPr>
                <w:bCs/>
              </w:rPr>
            </w:pPr>
            <w:r w:rsidRPr="007114B7">
              <w:rPr>
                <w:bCs/>
              </w:rPr>
              <w:t>9.</w:t>
            </w:r>
            <w:r>
              <w:rPr>
                <w:bCs/>
              </w:rPr>
              <w:t>44</w:t>
            </w:r>
            <w:r w:rsidRPr="007114B7">
              <w:rPr>
                <w:bCs/>
              </w:rPr>
              <w:t>%</w:t>
            </w:r>
          </w:p>
        </w:tc>
      </w:tr>
      <w:tr w:rsidR="00D54B54" w:rsidRPr="007114B7" w14:paraId="6383B647" w14:textId="77777777" w:rsidTr="006435B1">
        <w:trPr>
          <w:trHeight w:val="144"/>
          <w:jc w:val="center"/>
        </w:trPr>
        <w:tc>
          <w:tcPr>
            <w:tcW w:w="5575" w:type="dxa"/>
          </w:tcPr>
          <w:p w14:paraId="50C7A3F9" w14:textId="77777777" w:rsidR="00D54B54" w:rsidRPr="007114B7" w:rsidRDefault="00D54B54" w:rsidP="006435B1">
            <w:pPr>
              <w:spacing w:line="480" w:lineRule="auto"/>
              <w:ind w:left="878" w:hanging="720"/>
              <w:jc w:val="both"/>
            </w:pPr>
            <w:r w:rsidRPr="007114B7">
              <w:t>Constant Growth DCF Model (Sustainable Growth)</w:t>
            </w:r>
          </w:p>
        </w:tc>
        <w:tc>
          <w:tcPr>
            <w:tcW w:w="1620" w:type="dxa"/>
          </w:tcPr>
          <w:p w14:paraId="15EA5F6D" w14:textId="77777777" w:rsidR="00D54B54" w:rsidRPr="007114B7" w:rsidRDefault="00D54B54" w:rsidP="006435B1">
            <w:pPr>
              <w:spacing w:line="480" w:lineRule="auto"/>
              <w:ind w:left="720" w:hanging="720"/>
              <w:jc w:val="center"/>
              <w:rPr>
                <w:bCs/>
              </w:rPr>
            </w:pPr>
            <w:r w:rsidRPr="007114B7">
              <w:rPr>
                <w:bCs/>
              </w:rPr>
              <w:t>8.</w:t>
            </w:r>
            <w:r>
              <w:rPr>
                <w:bCs/>
              </w:rPr>
              <w:t>56</w:t>
            </w:r>
            <w:r w:rsidRPr="007114B7">
              <w:rPr>
                <w:bCs/>
              </w:rPr>
              <w:t>%</w:t>
            </w:r>
          </w:p>
        </w:tc>
        <w:tc>
          <w:tcPr>
            <w:tcW w:w="1620" w:type="dxa"/>
          </w:tcPr>
          <w:p w14:paraId="5B5B9583" w14:textId="5E30C51A" w:rsidR="00D54B54" w:rsidRPr="007114B7" w:rsidRDefault="00D54B54" w:rsidP="00F87C52">
            <w:pPr>
              <w:spacing w:line="480" w:lineRule="auto"/>
              <w:ind w:left="720" w:hanging="720"/>
              <w:jc w:val="center"/>
              <w:rPr>
                <w:bCs/>
              </w:rPr>
            </w:pPr>
            <w:r w:rsidRPr="007114B7">
              <w:rPr>
                <w:bCs/>
              </w:rPr>
              <w:t>8.</w:t>
            </w:r>
            <w:r>
              <w:rPr>
                <w:bCs/>
              </w:rPr>
              <w:t>5</w:t>
            </w:r>
            <w:r w:rsidR="00F87C52">
              <w:rPr>
                <w:bCs/>
              </w:rPr>
              <w:t>2</w:t>
            </w:r>
            <w:r w:rsidRPr="007114B7">
              <w:rPr>
                <w:bCs/>
              </w:rPr>
              <w:t>%</w:t>
            </w:r>
          </w:p>
        </w:tc>
      </w:tr>
      <w:tr w:rsidR="00D54B54" w:rsidRPr="007114B7" w14:paraId="563984CE" w14:textId="77777777" w:rsidTr="006435B1">
        <w:trPr>
          <w:trHeight w:val="144"/>
          <w:jc w:val="center"/>
        </w:trPr>
        <w:tc>
          <w:tcPr>
            <w:tcW w:w="5575" w:type="dxa"/>
          </w:tcPr>
          <w:p w14:paraId="4EF4AD04" w14:textId="77777777" w:rsidR="00D54B54" w:rsidRPr="007114B7" w:rsidRDefault="00D54B54" w:rsidP="006435B1">
            <w:pPr>
              <w:spacing w:line="480" w:lineRule="auto"/>
              <w:ind w:left="878" w:hanging="720"/>
              <w:jc w:val="both"/>
            </w:pPr>
            <w:r w:rsidRPr="007114B7">
              <w:t>Multi-Stage Growth DCF Model</w:t>
            </w:r>
          </w:p>
        </w:tc>
        <w:tc>
          <w:tcPr>
            <w:tcW w:w="1620" w:type="dxa"/>
          </w:tcPr>
          <w:p w14:paraId="1B9E4986" w14:textId="77777777" w:rsidR="00D54B54" w:rsidRPr="007114B7" w:rsidRDefault="00D54B54" w:rsidP="006435B1">
            <w:pPr>
              <w:spacing w:line="480" w:lineRule="auto"/>
              <w:ind w:left="720" w:hanging="720"/>
              <w:jc w:val="center"/>
              <w:rPr>
                <w:bCs/>
              </w:rPr>
            </w:pPr>
            <w:r w:rsidRPr="007114B7">
              <w:rPr>
                <w:bCs/>
              </w:rPr>
              <w:t>8.0</w:t>
            </w:r>
            <w:r>
              <w:rPr>
                <w:bCs/>
              </w:rPr>
              <w:t>6</w:t>
            </w:r>
            <w:r w:rsidRPr="007114B7">
              <w:rPr>
                <w:bCs/>
              </w:rPr>
              <w:t>%</w:t>
            </w:r>
          </w:p>
        </w:tc>
        <w:tc>
          <w:tcPr>
            <w:tcW w:w="1620" w:type="dxa"/>
          </w:tcPr>
          <w:p w14:paraId="22774FB5" w14:textId="77777777" w:rsidR="00D54B54" w:rsidRPr="007114B7" w:rsidRDefault="00D54B54" w:rsidP="006435B1">
            <w:pPr>
              <w:spacing w:line="480" w:lineRule="auto"/>
              <w:ind w:left="720" w:hanging="720"/>
              <w:jc w:val="center"/>
              <w:rPr>
                <w:bCs/>
              </w:rPr>
            </w:pPr>
            <w:r w:rsidRPr="007114B7">
              <w:rPr>
                <w:bCs/>
              </w:rPr>
              <w:t>8.1</w:t>
            </w:r>
            <w:r>
              <w:rPr>
                <w:bCs/>
              </w:rPr>
              <w:t>2</w:t>
            </w:r>
            <w:r w:rsidRPr="007114B7">
              <w:rPr>
                <w:bCs/>
              </w:rPr>
              <w:t>%</w:t>
            </w:r>
          </w:p>
        </w:tc>
      </w:tr>
    </w:tbl>
    <w:p w14:paraId="77A8B98F" w14:textId="2DEF92A9" w:rsidR="00D54B54" w:rsidRPr="007114B7" w:rsidRDefault="00D54B54" w:rsidP="00D54B54">
      <w:pPr>
        <w:spacing w:before="240" w:line="480" w:lineRule="auto"/>
        <w:ind w:left="720" w:hanging="720"/>
        <w:jc w:val="both"/>
      </w:pPr>
      <w:r w:rsidRPr="007114B7">
        <w:tab/>
      </w:r>
      <w:r w:rsidRPr="007114B7">
        <w:tab/>
        <w:t>DCF studies using analysts</w:t>
      </w:r>
      <w:r>
        <w:t>’</w:t>
      </w:r>
      <w:r w:rsidRPr="007114B7">
        <w:t xml:space="preserve"> growth rates and sustainable growth rates indicate a fair return on equity for </w:t>
      </w:r>
      <w:proofErr w:type="spellStart"/>
      <w:r>
        <w:t>EPE</w:t>
      </w:r>
      <w:proofErr w:type="spellEnd"/>
      <w:r>
        <w:t xml:space="preserve"> in this market within the range of 8.6% to 9.4%, with a midpoint of</w:t>
      </w:r>
      <w:r w:rsidRPr="007114B7">
        <w:t xml:space="preserve"> </w:t>
      </w:r>
      <w:r>
        <w:t>9.0</w:t>
      </w:r>
      <w:r w:rsidRPr="007114B7">
        <w:t>%.</w:t>
      </w:r>
    </w:p>
    <w:p w14:paraId="1EE3A447" w14:textId="77777777" w:rsidR="00D54B54" w:rsidRPr="007114B7" w:rsidRDefault="00D54B54" w:rsidP="00D54B54">
      <w:pPr>
        <w:suppressLineNumbers/>
        <w:spacing w:line="480" w:lineRule="auto"/>
        <w:ind w:left="720" w:hanging="720"/>
        <w:jc w:val="both"/>
        <w:rPr>
          <w:color w:val="000000"/>
        </w:rPr>
      </w:pPr>
      <w:bookmarkStart w:id="69" w:name="_Toc63936864"/>
      <w:bookmarkStart w:id="70" w:name="_Toc67399029"/>
      <w:bookmarkStart w:id="71" w:name="_Toc74922990"/>
      <w:bookmarkStart w:id="72" w:name="_Toc82676392"/>
    </w:p>
    <w:p w14:paraId="1E21FF0D" w14:textId="77777777" w:rsidR="00D54B54" w:rsidRPr="007114B7" w:rsidRDefault="00D54B54" w:rsidP="00D54B54">
      <w:pPr>
        <w:pStyle w:val="Heading2"/>
      </w:pPr>
      <w:bookmarkStart w:id="73" w:name="_Toc83990840"/>
      <w:bookmarkStart w:id="74" w:name="_Toc84318884"/>
      <w:bookmarkStart w:id="75" w:name="_Toc85028733"/>
      <w:proofErr w:type="spellStart"/>
      <w:r w:rsidRPr="0083647D">
        <w:rPr>
          <w:rFonts w:cs="Arial"/>
          <w:caps/>
        </w:rPr>
        <w:t>I</w:t>
      </w:r>
      <w:r>
        <w:rPr>
          <w:rFonts w:cs="Arial"/>
          <w:caps/>
        </w:rPr>
        <w:t>I</w:t>
      </w:r>
      <w:r w:rsidRPr="0083647D">
        <w:rPr>
          <w:rFonts w:cs="Arial"/>
          <w:caps/>
        </w:rPr>
        <w:t>I</w:t>
      </w:r>
      <w:r w:rsidRPr="0083647D">
        <w:rPr>
          <w:rFonts w:cs="Arial"/>
        </w:rPr>
        <w:t>.F</w:t>
      </w:r>
      <w:proofErr w:type="spellEnd"/>
      <w:r w:rsidRPr="0083647D">
        <w:rPr>
          <w:rFonts w:cs="Arial"/>
        </w:rPr>
        <w:t>.</w:t>
      </w:r>
      <w:r w:rsidRPr="007114B7">
        <w:t xml:space="preserve">  Risk Premium Model</w:t>
      </w:r>
      <w:bookmarkEnd w:id="69"/>
      <w:bookmarkEnd w:id="70"/>
      <w:bookmarkEnd w:id="71"/>
      <w:bookmarkEnd w:id="72"/>
      <w:bookmarkEnd w:id="73"/>
      <w:bookmarkEnd w:id="74"/>
      <w:bookmarkEnd w:id="75"/>
    </w:p>
    <w:p w14:paraId="19426599" w14:textId="77777777" w:rsidR="00D54B54" w:rsidRPr="007114B7" w:rsidRDefault="00D54B54" w:rsidP="00D54B54">
      <w:pPr>
        <w:keepNext/>
        <w:keepLines/>
        <w:spacing w:line="480" w:lineRule="auto"/>
        <w:ind w:left="720" w:hanging="720"/>
        <w:jc w:val="both"/>
        <w:rPr>
          <w:b/>
          <w:caps/>
        </w:rPr>
      </w:pPr>
      <w:r w:rsidRPr="007114B7">
        <w:rPr>
          <w:b/>
          <w:caps/>
        </w:rPr>
        <w:t>Q</w:t>
      </w:r>
      <w:r w:rsidRPr="007114B7">
        <w:rPr>
          <w:b/>
          <w:caps/>
        </w:rPr>
        <w:tab/>
        <w:t xml:space="preserve">PLEASE </w:t>
      </w:r>
      <w:r w:rsidRPr="007114B7">
        <w:rPr>
          <w:b/>
          <w:bCs/>
          <w:caps/>
        </w:rPr>
        <w:t>DESCRIBE</w:t>
      </w:r>
      <w:r w:rsidRPr="007114B7">
        <w:rPr>
          <w:b/>
          <w:caps/>
        </w:rPr>
        <w:t xml:space="preserve"> YOUR BOND YIELD PLUS RISK PREMIUM MODEL.</w:t>
      </w:r>
    </w:p>
    <w:p w14:paraId="23406A30" w14:textId="77777777" w:rsidR="00D54B54" w:rsidRPr="007114B7" w:rsidRDefault="00D54B54" w:rsidP="00D54B54">
      <w:pPr>
        <w:spacing w:line="480" w:lineRule="auto"/>
        <w:ind w:left="720" w:hanging="720"/>
        <w:jc w:val="both"/>
      </w:pPr>
      <w:r w:rsidRPr="007114B7">
        <w:t>A</w:t>
      </w:r>
      <w:r w:rsidRPr="007114B7">
        <w:tab/>
        <w:t xml:space="preserve">This model is based on the principle that investors require a higher return to assume greater risk.  Common equity investments have greater risk than bonds because bonds </w:t>
      </w:r>
      <w:r w:rsidRPr="007114B7">
        <w:lastRenderedPageBreak/>
        <w:t xml:space="preserve">have more security of payment in bankruptcy proceedings than common equity and the coupon payments on bonds represent contractual obligations.  In contrast, companies are not required to pay dividends or guarantee returns on common equity investments.  Therefore, common equity securities are considered to be riskier than bond securities.  </w:t>
      </w:r>
    </w:p>
    <w:p w14:paraId="7936717A" w14:textId="77777777" w:rsidR="00D54B54" w:rsidRPr="007114B7" w:rsidRDefault="00D54B54" w:rsidP="00D54B54">
      <w:pPr>
        <w:spacing w:line="480" w:lineRule="auto"/>
        <w:ind w:left="720" w:hanging="720"/>
        <w:jc w:val="both"/>
      </w:pPr>
      <w:r w:rsidRPr="007114B7">
        <w:tab/>
      </w:r>
      <w:r w:rsidRPr="007114B7">
        <w:tab/>
        <w:t>This risk premium model is based on two estimates of an equity risk premium.  First, I quantify the difference between regulatory commission-authorized returns on common equity and contemporary U.S. Treasury bonds.  The difference between the authorized return on common equity and the Treasury bond yield is the risk premium.  I estimated the risk premium on an annual basis for each year from 1986 through 2020.  The authorized returns on equity were based on regulatory commission-authorized returns for utility companies.  Authorized returns are typically based on expert witnesses</w:t>
      </w:r>
      <w:r>
        <w:t>’</w:t>
      </w:r>
      <w:r w:rsidRPr="007114B7">
        <w:t xml:space="preserve"> estimates of the investor-required return at the time of the proceeding.  </w:t>
      </w:r>
    </w:p>
    <w:p w14:paraId="38AC3E72" w14:textId="77777777" w:rsidR="00D54B54" w:rsidRPr="007114B7" w:rsidRDefault="00D54B54" w:rsidP="00D54B54">
      <w:pPr>
        <w:spacing w:line="480" w:lineRule="auto"/>
        <w:ind w:left="720" w:hanging="720"/>
        <w:jc w:val="both"/>
      </w:pPr>
      <w:r w:rsidRPr="007114B7">
        <w:tab/>
      </w:r>
      <w:r w:rsidRPr="007114B7">
        <w:tab/>
        <w:t xml:space="preserve">The second equity risk premium estimate is based on the difference between regulatory commission-authorized returns on common equity and contemporary </w:t>
      </w:r>
      <w:r>
        <w:t>“</w:t>
      </w:r>
      <w:r w:rsidRPr="007114B7">
        <w:t>A</w:t>
      </w:r>
      <w:r>
        <w:t>”</w:t>
      </w:r>
      <w:r w:rsidRPr="007114B7">
        <w:t> rated utility bond yields by Moody</w:t>
      </w:r>
      <w:r>
        <w:t>’</w:t>
      </w:r>
      <w:r w:rsidRPr="007114B7">
        <w:t xml:space="preserve">s.  I selected the period 1986 through 2020 because public utility stocks consistently traded at a premium to book value during that period.  This is illustrated in </w:t>
      </w:r>
      <w:r w:rsidRPr="00E92E03">
        <w:t>Exhibit MPG-11</w:t>
      </w:r>
      <w:r w:rsidRPr="007114B7">
        <w:t>, which shows the market</w:t>
      </w:r>
      <w:r w:rsidRPr="007114B7">
        <w:noBreakHyphen/>
        <w:t>to</w:t>
      </w:r>
      <w:r w:rsidRPr="007114B7">
        <w:noBreakHyphen/>
        <w:t>book ratio since 1986 for the electric utility industry was consistently above a multiple of 1.0x.  Over this period, an analyst can infer that authorized returns on equity were sufficient to support market prices that at least exceeded book value.  This is an indication that commission authorized returns on common equity supported a utility</w:t>
      </w:r>
      <w:r>
        <w:t>’</w:t>
      </w:r>
      <w:r w:rsidRPr="007114B7">
        <w:t xml:space="preserve">s ability to issue additional common stock without diluting existing shares.  It further demonstrates utilities were able to access equity markets without a detrimental impact on current shareholders.  </w:t>
      </w:r>
    </w:p>
    <w:p w14:paraId="42E46F42" w14:textId="77777777" w:rsidR="00D54B54" w:rsidRPr="007114B7" w:rsidRDefault="00D54B54" w:rsidP="00D54B54">
      <w:pPr>
        <w:spacing w:line="480" w:lineRule="auto"/>
        <w:ind w:left="720" w:hanging="720"/>
        <w:jc w:val="both"/>
      </w:pPr>
      <w:r w:rsidRPr="007114B7">
        <w:tab/>
      </w:r>
      <w:r w:rsidRPr="007114B7">
        <w:tab/>
        <w:t xml:space="preserve">Based on this analysis, as shown in </w:t>
      </w:r>
      <w:r w:rsidRPr="00E92E03">
        <w:t>Exhibit MPG-12</w:t>
      </w:r>
      <w:r w:rsidRPr="007114B7">
        <w:t xml:space="preserve">, the average indicated equity risk premium over U.S. Treasury bond yields has been 5.69%.  Since the risk </w:t>
      </w:r>
      <w:r w:rsidRPr="007114B7">
        <w:lastRenderedPageBreak/>
        <w:t xml:space="preserve">premium can vary depending upon market conditions and changing investor risk perceptions, I believe using an estimated range of risk premiums provides the best method to measure the current return on common equity for a risk premium methodology.  </w:t>
      </w:r>
    </w:p>
    <w:p w14:paraId="508D1AA1" w14:textId="77777777" w:rsidR="00D54B54" w:rsidRPr="007114B7" w:rsidRDefault="00D54B54" w:rsidP="00D54B54">
      <w:pPr>
        <w:spacing w:line="480" w:lineRule="auto"/>
        <w:ind w:left="720" w:hanging="720"/>
        <w:jc w:val="both"/>
      </w:pPr>
      <w:r w:rsidRPr="007114B7">
        <w:tab/>
      </w:r>
      <w:r w:rsidRPr="007114B7">
        <w:tab/>
        <w:t xml:space="preserve">I incorporated five-year and ten-year rolling average risk premiums over the study period to gauge the variability over time of risk premiums.  These rolling average risk premiums mitigate the impact of anomalous market conditions and skewed risk premiums over an entire business cycle.  As shown on my </w:t>
      </w:r>
      <w:r w:rsidRPr="00E92E03">
        <w:t>Exhibit MPG</w:t>
      </w:r>
      <w:r w:rsidRPr="00E92E03">
        <w:noBreakHyphen/>
        <w:t>12</w:t>
      </w:r>
      <w:r w:rsidRPr="007114B7">
        <w:t>, the five-year rolling average risk premium over Treasury bonds ranged from 4.25% to</w:t>
      </w:r>
      <w:r>
        <w:t xml:space="preserve"> 7.08%, with an average of 5.64%</w:t>
      </w:r>
      <w:r w:rsidRPr="007114B7">
        <w:t xml:space="preserve">.  The ten-year rolling average risk premium ranged from 4.38% to 6.90%, with </w:t>
      </w:r>
      <w:r>
        <w:t>an average of</w:t>
      </w:r>
      <w:r w:rsidRPr="007114B7">
        <w:t xml:space="preserve"> 5.64%.</w:t>
      </w:r>
    </w:p>
    <w:p w14:paraId="504382A8" w14:textId="77777777" w:rsidR="00D54B54" w:rsidRPr="007114B7" w:rsidRDefault="00D54B54" w:rsidP="00D54B54">
      <w:pPr>
        <w:spacing w:line="480" w:lineRule="auto"/>
        <w:ind w:left="720" w:hanging="720"/>
        <w:jc w:val="both"/>
      </w:pPr>
      <w:r w:rsidRPr="007114B7">
        <w:tab/>
      </w:r>
      <w:r w:rsidRPr="007114B7">
        <w:tab/>
        <w:t xml:space="preserve">As shown on my </w:t>
      </w:r>
      <w:r w:rsidRPr="00E92E03">
        <w:t>Exhibit MPG-13</w:t>
      </w:r>
      <w:r w:rsidRPr="007114B7">
        <w:t xml:space="preserve">, the average indicated equity risk premium over contemporary </w:t>
      </w:r>
      <w:r>
        <w:t>“</w:t>
      </w:r>
      <w:r w:rsidRPr="007114B7">
        <w:t>A</w:t>
      </w:r>
      <w:r>
        <w:t>”</w:t>
      </w:r>
      <w:r w:rsidRPr="007114B7">
        <w:t xml:space="preserve"> rated Moody</w:t>
      </w:r>
      <w:r>
        <w:t>’</w:t>
      </w:r>
      <w:r w:rsidRPr="007114B7">
        <w:t xml:space="preserve">s utility bond yields was 4.34%.  The five-year rolling average risk premiums ranged from 2.88% to 5.89%, with </w:t>
      </w:r>
      <w:r>
        <w:t>an average of 4.29%</w:t>
      </w:r>
      <w:r w:rsidRPr="007114B7">
        <w:t>.  The ten</w:t>
      </w:r>
      <w:r w:rsidRPr="007114B7">
        <w:noBreakHyphen/>
        <w:t>year rolling average risk premiums ranged from 3.20% to 5.73%., with a</w:t>
      </w:r>
      <w:r>
        <w:t>n average of 4.27%</w:t>
      </w:r>
      <w:r w:rsidRPr="007114B7">
        <w:t>.</w:t>
      </w:r>
    </w:p>
    <w:p w14:paraId="48F83DA6" w14:textId="77777777" w:rsidR="00D54B54" w:rsidRPr="007114B7" w:rsidRDefault="00D54B54" w:rsidP="00D54B54">
      <w:pPr>
        <w:suppressLineNumbers/>
        <w:spacing w:line="480" w:lineRule="auto"/>
        <w:ind w:left="720" w:hanging="720"/>
        <w:jc w:val="both"/>
        <w:rPr>
          <w:color w:val="000000"/>
        </w:rPr>
      </w:pPr>
    </w:p>
    <w:p w14:paraId="7661E23E" w14:textId="77777777" w:rsidR="00D54B54" w:rsidRPr="007114B7" w:rsidRDefault="00D54B54" w:rsidP="00D54B54">
      <w:pPr>
        <w:keepNext/>
        <w:keepLines/>
        <w:spacing w:line="480" w:lineRule="auto"/>
        <w:ind w:left="720" w:hanging="720"/>
        <w:jc w:val="both"/>
        <w:rPr>
          <w:b/>
          <w:bCs/>
          <w:caps/>
        </w:rPr>
      </w:pPr>
      <w:r w:rsidRPr="007114B7">
        <w:rPr>
          <w:b/>
          <w:bCs/>
          <w:caps/>
        </w:rPr>
        <w:t>Q</w:t>
      </w:r>
      <w:r w:rsidRPr="007114B7">
        <w:rPr>
          <w:b/>
          <w:bCs/>
          <w:caps/>
        </w:rPr>
        <w:tab/>
        <w:t>DO YOU BELIEVE THAT THE TIME PERIOD USED TO DERIVE THESE EQUITY RISK PREMIUM ESTIMATES IS APPROPRIATE TO FORM ACCURATE CONCLUSIONS ABOUT CONTEMPORARY MARKET CONDITIONS?</w:t>
      </w:r>
    </w:p>
    <w:p w14:paraId="243155AB" w14:textId="77777777" w:rsidR="00D54B54" w:rsidRPr="007114B7" w:rsidRDefault="00D54B54" w:rsidP="00D54B54">
      <w:pPr>
        <w:spacing w:line="480" w:lineRule="auto"/>
        <w:ind w:left="720" w:hanging="720"/>
        <w:jc w:val="both"/>
      </w:pPr>
      <w:r w:rsidRPr="007114B7">
        <w:t>A</w:t>
      </w:r>
      <w:r w:rsidRPr="007114B7">
        <w:tab/>
        <w:t>Yes.  Contemporary market conditions can change during the period that rates determined in this proceeding will be in effect.  A relatively long period of time where stock valuations reflect premiums to book value indicates that the authorized returns on equity and the corresponding equity risk premiums were supportive of investors</w:t>
      </w:r>
      <w:r>
        <w:t>’</w:t>
      </w:r>
      <w:r w:rsidRPr="007114B7">
        <w:t xml:space="preserve"> return expectations and provided utilities access to the equity markets under reasonable terms and conditions.  Further, this time period is long enough to smooth </w:t>
      </w:r>
      <w:r w:rsidRPr="007114B7">
        <w:lastRenderedPageBreak/>
        <w:t xml:space="preserve">abnormal market movement that might distort equity risk premiums.  While market conditions and risk premiums do vary over time, this historical time period is a reasonable period to estimate contemporary risk premiums.  </w:t>
      </w:r>
    </w:p>
    <w:p w14:paraId="13B03F64" w14:textId="77777777" w:rsidR="00D54B54" w:rsidRPr="007114B7" w:rsidRDefault="00D54B54" w:rsidP="00D54B54">
      <w:pPr>
        <w:spacing w:line="480" w:lineRule="auto"/>
        <w:ind w:left="720" w:hanging="720"/>
        <w:jc w:val="both"/>
      </w:pPr>
      <w:r w:rsidRPr="007114B7">
        <w:tab/>
      </w:r>
      <w:r w:rsidRPr="007114B7">
        <w:tab/>
        <w:t xml:space="preserve">Alternatively, some studies, such as Duff &amp; Phelps, have recommended that the use of </w:t>
      </w:r>
      <w:r>
        <w:t>“</w:t>
      </w:r>
      <w:r w:rsidRPr="007114B7">
        <w:t>actual achieved investment return data</w:t>
      </w:r>
      <w:r>
        <w:t>”</w:t>
      </w:r>
      <w:r w:rsidRPr="007114B7">
        <w:t xml:space="preserve"> in a risk premium study should be based on long historical time periods.  The studies find that achieved returns over short time periods may not reflect investors</w:t>
      </w:r>
      <w:r>
        <w:t>’</w:t>
      </w:r>
      <w:r w:rsidRPr="007114B7">
        <w:t xml:space="preserve"> expected returns due to unexpected and abnormal stock price performance.  Short-term, abnormal actual returns would be smoothed over time and the achieved actual investment returns over long time periods would approximate investors</w:t>
      </w:r>
      <w:r>
        <w:t>’</w:t>
      </w:r>
      <w:r w:rsidRPr="007114B7">
        <w:t xml:space="preserve"> expected returns.  Therefore, it is reasonable to assume that averages of annual achieved returns over long time periods will generally converge on the investors</w:t>
      </w:r>
      <w:r>
        <w:t>’</w:t>
      </w:r>
      <w:r w:rsidRPr="007114B7">
        <w:t xml:space="preserve"> expected returns.</w:t>
      </w:r>
    </w:p>
    <w:p w14:paraId="6B7C90A1" w14:textId="77777777" w:rsidR="00D54B54" w:rsidRPr="007114B7" w:rsidRDefault="00D54B54" w:rsidP="00D54B54">
      <w:pPr>
        <w:spacing w:line="480" w:lineRule="auto"/>
        <w:ind w:left="720" w:hanging="720"/>
        <w:jc w:val="both"/>
      </w:pPr>
      <w:r w:rsidRPr="007114B7">
        <w:tab/>
      </w:r>
      <w:r w:rsidRPr="007114B7">
        <w:tab/>
        <w:t xml:space="preserve">My risk premium study is based on data that inherently relied on investor expectations, not actual investment returns, and, thus, need not encompass a very long historical time period. </w:t>
      </w:r>
    </w:p>
    <w:p w14:paraId="24C55E43" w14:textId="77777777" w:rsidR="00D54B54" w:rsidRPr="007114B7" w:rsidRDefault="00D54B54" w:rsidP="00D54B54">
      <w:pPr>
        <w:suppressLineNumbers/>
        <w:spacing w:line="480" w:lineRule="auto"/>
        <w:ind w:left="720" w:hanging="720"/>
        <w:jc w:val="both"/>
        <w:rPr>
          <w:color w:val="000000"/>
        </w:rPr>
      </w:pPr>
    </w:p>
    <w:p w14:paraId="42BDE7DD" w14:textId="77777777" w:rsidR="00D54B54" w:rsidRPr="007114B7" w:rsidRDefault="00D54B54" w:rsidP="00D54B54">
      <w:pPr>
        <w:spacing w:line="480" w:lineRule="auto"/>
        <w:ind w:left="720" w:hanging="720"/>
        <w:jc w:val="both"/>
        <w:rPr>
          <w:b/>
          <w:bCs/>
          <w:caps/>
        </w:rPr>
      </w:pPr>
      <w:r w:rsidRPr="007114B7">
        <w:rPr>
          <w:b/>
          <w:bCs/>
          <w:caps/>
        </w:rPr>
        <w:t>Q</w:t>
      </w:r>
      <w:r w:rsidRPr="007114B7">
        <w:rPr>
          <w:b/>
          <w:bCs/>
          <w:caps/>
        </w:rPr>
        <w:tab/>
        <w:t>WHAT DOES CURRENT OBSERVABLE MARKET DATA SUGGEST ABOUT INVESTOR PERCEPTIONS OF UTILITY INVESTMENTS?</w:t>
      </w:r>
    </w:p>
    <w:p w14:paraId="0A74D39E" w14:textId="77777777" w:rsidR="00D54B54" w:rsidRPr="007114B7" w:rsidRDefault="00D54B54" w:rsidP="00D54B54">
      <w:pPr>
        <w:spacing w:line="480" w:lineRule="auto"/>
        <w:ind w:left="720" w:hanging="720"/>
        <w:jc w:val="both"/>
      </w:pPr>
      <w:r w:rsidRPr="007114B7">
        <w:t>A</w:t>
      </w:r>
      <w:r w:rsidRPr="007114B7">
        <w:tab/>
        <w:t xml:space="preserve">The equity risk premium should reflect the relative market perception of risk today in the utility industry.  I have gauged investor perceptions in utility risk today in </w:t>
      </w:r>
      <w:r w:rsidRPr="00E92E03">
        <w:t>Exhibit MPG</w:t>
      </w:r>
      <w:r w:rsidRPr="00E92E03">
        <w:noBreakHyphen/>
        <w:t>14</w:t>
      </w:r>
      <w:r w:rsidRPr="007114B7">
        <w:t>, where I show the yield spread between utility bonds and Treasury bonds over the last 4</w:t>
      </w:r>
      <w:r>
        <w:t>1</w:t>
      </w:r>
      <w:r w:rsidRPr="007114B7">
        <w:t xml:space="preserve"> years.  As shown in this exhibit, the average utility bond yield spreads over Treasury bonds for </w:t>
      </w:r>
      <w:r>
        <w:t>“</w:t>
      </w:r>
      <w:r w:rsidRPr="007114B7">
        <w:t>A</w:t>
      </w:r>
      <w:r>
        <w:t>”</w:t>
      </w:r>
      <w:r w:rsidRPr="007114B7">
        <w:t xml:space="preserve"> and </w:t>
      </w:r>
      <w:r>
        <w:t>“</w:t>
      </w:r>
      <w:r w:rsidRPr="007114B7">
        <w:t>Baa</w:t>
      </w:r>
      <w:r>
        <w:t>”</w:t>
      </w:r>
      <w:r w:rsidRPr="007114B7">
        <w:t xml:space="preserve"> rated utility bonds for this historical period are 1.48% and 1.91%, respectively.  The utility bond yield spreads over Treasury bonds for </w:t>
      </w:r>
      <w:r>
        <w:t>“</w:t>
      </w:r>
      <w:r w:rsidRPr="007114B7">
        <w:t>A</w:t>
      </w:r>
      <w:r>
        <w:t>”</w:t>
      </w:r>
      <w:r w:rsidRPr="007114B7">
        <w:t xml:space="preserve"> and </w:t>
      </w:r>
      <w:r>
        <w:t>“</w:t>
      </w:r>
      <w:r w:rsidRPr="007114B7">
        <w:t>Baa</w:t>
      </w:r>
      <w:r>
        <w:t>”</w:t>
      </w:r>
      <w:r w:rsidRPr="007114B7">
        <w:t xml:space="preserve"> rated utilities for 2019 were 1.18% and 1.61%, respectively. In 2020, the </w:t>
      </w:r>
      <w:r>
        <w:t>“</w:t>
      </w:r>
      <w:r w:rsidRPr="007114B7">
        <w:t>A</w:t>
      </w:r>
      <w:r>
        <w:t>”</w:t>
      </w:r>
      <w:r w:rsidRPr="007114B7">
        <w:t xml:space="preserve"> and </w:t>
      </w:r>
      <w:r>
        <w:t>“</w:t>
      </w:r>
      <w:r w:rsidRPr="007114B7">
        <w:t>Baa</w:t>
      </w:r>
      <w:r>
        <w:t>”</w:t>
      </w:r>
      <w:r w:rsidRPr="007114B7">
        <w:t xml:space="preserve"> utility spreads are 1.49% and 1.87%, respectively.  More recently in the first </w:t>
      </w:r>
      <w:r w:rsidRPr="007114B7">
        <w:lastRenderedPageBreak/>
        <w:t xml:space="preserve">half of 2021, the </w:t>
      </w:r>
      <w:r>
        <w:t>“</w:t>
      </w:r>
      <w:r w:rsidRPr="007114B7">
        <w:t>A</w:t>
      </w:r>
      <w:r>
        <w:t>”</w:t>
      </w:r>
      <w:r w:rsidRPr="007114B7">
        <w:t xml:space="preserve"> and </w:t>
      </w:r>
      <w:r>
        <w:t>“</w:t>
      </w:r>
      <w:r w:rsidRPr="007114B7">
        <w:t>Baa</w:t>
      </w:r>
      <w:r>
        <w:t>”</w:t>
      </w:r>
      <w:r w:rsidRPr="007114B7">
        <w:t xml:space="preserve"> utility spreads are 1.04% and 1.30%, respectively.  Both the current average </w:t>
      </w:r>
      <w:r>
        <w:t>“</w:t>
      </w:r>
      <w:r w:rsidRPr="007114B7">
        <w:t>A</w:t>
      </w:r>
      <w:r>
        <w:t>”</w:t>
      </w:r>
      <w:r w:rsidRPr="007114B7">
        <w:t xml:space="preserve"> rated and </w:t>
      </w:r>
      <w:r>
        <w:t>“</w:t>
      </w:r>
      <w:r w:rsidRPr="007114B7">
        <w:t>Baa</w:t>
      </w:r>
      <w:r>
        <w:t>”</w:t>
      </w:r>
      <w:r w:rsidRPr="007114B7">
        <w:t xml:space="preserve"> rated utility bond yield spreads over Treasury bond yields are lower or comparable to the respective 41</w:t>
      </w:r>
      <w:r w:rsidRPr="007114B7">
        <w:noBreakHyphen/>
        <w:t>year average spreads.</w:t>
      </w:r>
    </w:p>
    <w:p w14:paraId="3EE70F11" w14:textId="77777777" w:rsidR="00D54B54" w:rsidRPr="007114B7" w:rsidRDefault="00D54B54" w:rsidP="00D54B54">
      <w:pPr>
        <w:spacing w:line="480" w:lineRule="auto"/>
        <w:ind w:left="720" w:hanging="720"/>
        <w:jc w:val="both"/>
      </w:pPr>
      <w:r w:rsidRPr="007114B7">
        <w:tab/>
      </w:r>
      <w:r w:rsidRPr="007114B7">
        <w:tab/>
        <w:t xml:space="preserve">The current 13-week average </w:t>
      </w:r>
      <w:r>
        <w:t>“</w:t>
      </w:r>
      <w:r w:rsidRPr="007114B7">
        <w:t>A</w:t>
      </w:r>
      <w:r>
        <w:t>”</w:t>
      </w:r>
      <w:r w:rsidRPr="007114B7">
        <w:t xml:space="preserve"> </w:t>
      </w:r>
      <w:r>
        <w:t>rated utility bond yield of 2.98</w:t>
      </w:r>
      <w:r w:rsidRPr="007114B7">
        <w:t>% when compared to the current Treasury bond</w:t>
      </w:r>
      <w:r>
        <w:t xml:space="preserve"> yield of 1.96</w:t>
      </w:r>
      <w:r w:rsidRPr="007114B7">
        <w:t xml:space="preserve">%, as shown in </w:t>
      </w:r>
      <w:r w:rsidRPr="00E92E03">
        <w:t>Exhibit MPG</w:t>
      </w:r>
      <w:r w:rsidRPr="00E92E03">
        <w:noBreakHyphen/>
        <w:t>15</w:t>
      </w:r>
      <w:r w:rsidRPr="007114B7">
        <w:t xml:space="preserve">, implies a yield spread of 1.02%.  This current utility bond yield spread is significantly lower than the 41-year average spread for </w:t>
      </w:r>
      <w:r>
        <w:t>“</w:t>
      </w:r>
      <w:r w:rsidRPr="007114B7">
        <w:t>A</w:t>
      </w:r>
      <w:r>
        <w:t>”</w:t>
      </w:r>
      <w:r w:rsidRPr="007114B7">
        <w:t xml:space="preserve"> rated utility bonds of 1.48%.  The current spread for the </w:t>
      </w:r>
      <w:r>
        <w:t>“</w:t>
      </w:r>
      <w:r w:rsidRPr="007114B7">
        <w:t>Baa</w:t>
      </w:r>
      <w:r>
        <w:t>”</w:t>
      </w:r>
      <w:r w:rsidRPr="007114B7">
        <w:t xml:space="preserve"> rated utility bond yield of 1.26% is also lower than the 41</w:t>
      </w:r>
      <w:r w:rsidRPr="007114B7">
        <w:noBreakHyphen/>
        <w:t xml:space="preserve">year average spread of 1.91%.  </w:t>
      </w:r>
    </w:p>
    <w:p w14:paraId="4139E1A2" w14:textId="77777777" w:rsidR="00D54B54" w:rsidRPr="007114B7" w:rsidRDefault="00D54B54" w:rsidP="00D54B54">
      <w:pPr>
        <w:suppressLineNumbers/>
        <w:spacing w:line="480" w:lineRule="auto"/>
        <w:ind w:left="720" w:hanging="720"/>
        <w:jc w:val="both"/>
        <w:rPr>
          <w:color w:val="000000"/>
        </w:rPr>
      </w:pPr>
    </w:p>
    <w:p w14:paraId="6491D140" w14:textId="77777777" w:rsidR="00D54B54" w:rsidRPr="007114B7" w:rsidRDefault="00D54B54" w:rsidP="00D54B54">
      <w:pPr>
        <w:spacing w:line="480" w:lineRule="auto"/>
        <w:ind w:left="720" w:hanging="720"/>
        <w:jc w:val="both"/>
        <w:rPr>
          <w:b/>
          <w:bCs/>
          <w:caps/>
        </w:rPr>
      </w:pPr>
      <w:r w:rsidRPr="007114B7">
        <w:rPr>
          <w:b/>
          <w:bCs/>
          <w:caps/>
        </w:rPr>
        <w:t>Q</w:t>
      </w:r>
      <w:r w:rsidRPr="007114B7">
        <w:rPr>
          <w:b/>
          <w:bCs/>
          <w:caps/>
        </w:rPr>
        <w:tab/>
        <w:t>IS THERE OBSERVABLE MARKET EVIDENCE TO HELP GAUGE MARKET RISK PREMIUMS?</w:t>
      </w:r>
    </w:p>
    <w:p w14:paraId="49157671" w14:textId="77777777" w:rsidR="00D54B54" w:rsidRPr="007114B7" w:rsidRDefault="00D54B54" w:rsidP="00D54B54">
      <w:pPr>
        <w:spacing w:line="480" w:lineRule="auto"/>
        <w:ind w:left="720" w:hanging="720"/>
        <w:jc w:val="both"/>
      </w:pPr>
      <w:r w:rsidRPr="007114B7">
        <w:t>A</w:t>
      </w:r>
      <w:r w:rsidRPr="007114B7">
        <w:tab/>
        <w:t>Yes.  Market data illustrates how the market is pricing investment risk, and gauging the current demands for returns based on securities of varying levels of investment risk.  This market evidence includes bond yield spreads for different bond return ratings as implied by the yield spreads for Treasury, corporate and utility bonds.  These spreads provide an indication of the market</w:t>
      </w:r>
      <w:r>
        <w:t>’</w:t>
      </w:r>
      <w:r w:rsidRPr="007114B7">
        <w:t>s return requirement for securities of different levels of investment risk and required risk premiums.</w:t>
      </w:r>
    </w:p>
    <w:p w14:paraId="576D9FFF" w14:textId="77777777" w:rsidR="00D54B54" w:rsidRPr="007114B7" w:rsidRDefault="00D54B54" w:rsidP="00D54B54">
      <w:pPr>
        <w:spacing w:line="480" w:lineRule="auto"/>
        <w:ind w:left="720" w:hanging="720"/>
        <w:jc w:val="both"/>
      </w:pPr>
      <w:r>
        <w:tab/>
      </w:r>
      <w:r>
        <w:tab/>
        <w:t>Table 6</w:t>
      </w:r>
      <w:r w:rsidRPr="007114B7">
        <w:t xml:space="preserve"> below summarizes the utility and corporate bond spreads relative to Treasury bond yields.</w:t>
      </w:r>
    </w:p>
    <w:p w14:paraId="239FD666" w14:textId="6FFAAD42" w:rsidR="00D54B54" w:rsidRPr="007114B7" w:rsidRDefault="00853E50" w:rsidP="00D54B54">
      <w:pPr>
        <w:suppressLineNumbers/>
        <w:spacing w:line="480" w:lineRule="auto"/>
        <w:ind w:left="720"/>
        <w:jc w:val="center"/>
      </w:pPr>
      <w:r w:rsidRPr="00853E50">
        <w:rPr>
          <w:noProof/>
        </w:rPr>
        <w:lastRenderedPageBreak/>
        <w:drawing>
          <wp:inline distT="0" distB="0" distL="0" distR="0" wp14:anchorId="69D1E841" wp14:editId="6063CEA0">
            <wp:extent cx="5045075" cy="282194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045075" cy="2821940"/>
                    </a:xfrm>
                    <a:prstGeom prst="rect">
                      <a:avLst/>
                    </a:prstGeom>
                    <a:noFill/>
                    <a:ln>
                      <a:noFill/>
                    </a:ln>
                  </pic:spPr>
                </pic:pic>
              </a:graphicData>
            </a:graphic>
          </wp:inline>
        </w:drawing>
      </w:r>
    </w:p>
    <w:p w14:paraId="45F0DBF3" w14:textId="77777777" w:rsidR="00D54B54" w:rsidRDefault="00D54B54" w:rsidP="00D54B54">
      <w:pPr>
        <w:spacing w:line="480" w:lineRule="auto"/>
        <w:ind w:left="720" w:hanging="720"/>
        <w:jc w:val="both"/>
      </w:pPr>
      <w:r w:rsidRPr="007114B7">
        <w:tab/>
      </w:r>
      <w:r w:rsidRPr="007114B7">
        <w:tab/>
        <w:t xml:space="preserve">As shown above in Table </w:t>
      </w:r>
      <w:r>
        <w:t>6</w:t>
      </w:r>
      <w:r w:rsidRPr="007114B7">
        <w:t xml:space="preserve">, the average historical utility bond yield spread is greater than the current yield spread based on 2019-2021 data.  This is an indication that the market is placing a higher value on utility securities currently, and indicating a preference for lower-risk investments.  </w:t>
      </w:r>
    </w:p>
    <w:p w14:paraId="4432CB66" w14:textId="23A7C2CA" w:rsidR="00D54B54" w:rsidRPr="007114B7" w:rsidRDefault="00D54B54" w:rsidP="00D54B54">
      <w:pPr>
        <w:spacing w:line="480" w:lineRule="auto"/>
        <w:ind w:left="720" w:firstLine="720"/>
        <w:jc w:val="both"/>
      </w:pPr>
      <w:r w:rsidRPr="007114B7">
        <w:t xml:space="preserve">This phenomenon is also evident in </w:t>
      </w:r>
      <w:r>
        <w:t xml:space="preserve">utility bond </w:t>
      </w:r>
      <w:r w:rsidRPr="007114B7">
        <w:t xml:space="preserve">spreads </w:t>
      </w:r>
      <w:r>
        <w:t>relative to general corporate bonds</w:t>
      </w:r>
      <w:r w:rsidRPr="007114B7">
        <w:t xml:space="preserve">.  An </w:t>
      </w:r>
      <w:proofErr w:type="spellStart"/>
      <w:r w:rsidRPr="007114B7">
        <w:t>Aaa</w:t>
      </w:r>
      <w:proofErr w:type="spellEnd"/>
      <w:r w:rsidRPr="007114B7">
        <w:t xml:space="preserve">-rated corporate bond 41-year average spread is 0.84%, which is lower than the 2020 spread of </w:t>
      </w:r>
      <w:r>
        <w:t>0.96</w:t>
      </w:r>
      <w:r w:rsidRPr="007114B7">
        <w:t>%</w:t>
      </w:r>
      <w:r w:rsidR="00EB113A">
        <w:t>.  The</w:t>
      </w:r>
      <w:r>
        <w:t xml:space="preserve"> spread during the first eight months </w:t>
      </w:r>
      <w:r w:rsidR="00EB113A">
        <w:t>of 2021 of 0.64% in</w:t>
      </w:r>
      <w:r w:rsidR="00853E50">
        <w:t>dicates a movement back to a more normal risk premium</w:t>
      </w:r>
      <w:r w:rsidR="00EB113A">
        <w:t>.</w:t>
      </w:r>
    </w:p>
    <w:p w14:paraId="6BB1E4E3" w14:textId="77777777" w:rsidR="00D54B54" w:rsidRPr="007114B7" w:rsidRDefault="00D54B54" w:rsidP="00D54B54">
      <w:pPr>
        <w:suppressLineNumbers/>
        <w:spacing w:line="480" w:lineRule="auto"/>
        <w:ind w:left="720" w:hanging="720"/>
        <w:jc w:val="both"/>
        <w:rPr>
          <w:color w:val="000000"/>
        </w:rPr>
      </w:pPr>
    </w:p>
    <w:p w14:paraId="22A6DAB1" w14:textId="77777777" w:rsidR="00D54B54" w:rsidRPr="007114B7" w:rsidRDefault="00D54B54" w:rsidP="00D54B54">
      <w:pPr>
        <w:keepNext/>
        <w:spacing w:line="480" w:lineRule="auto"/>
        <w:ind w:left="720" w:hanging="720"/>
        <w:jc w:val="both"/>
        <w:rPr>
          <w:b/>
          <w:bCs/>
          <w:caps/>
        </w:rPr>
      </w:pPr>
      <w:r w:rsidRPr="007114B7">
        <w:rPr>
          <w:b/>
          <w:bCs/>
          <w:caps/>
        </w:rPr>
        <w:t>Q</w:t>
      </w:r>
      <w:r w:rsidRPr="007114B7">
        <w:rPr>
          <w:b/>
          <w:bCs/>
          <w:caps/>
        </w:rPr>
        <w:tab/>
        <w:t xml:space="preserve">WHAT IS YOUR RECOMMENDED RETURN FOR </w:t>
      </w:r>
      <w:proofErr w:type="spellStart"/>
      <w:r>
        <w:rPr>
          <w:rFonts w:eastAsia="Calibri"/>
          <w:b/>
          <w:bCs/>
          <w:caps/>
        </w:rPr>
        <w:t>EPE</w:t>
      </w:r>
      <w:proofErr w:type="spellEnd"/>
      <w:r w:rsidRPr="007114B7">
        <w:rPr>
          <w:b/>
          <w:bCs/>
          <w:caps/>
        </w:rPr>
        <w:t xml:space="preserve"> BASED ON YOUR RISK PREMIUM STUDY? </w:t>
      </w:r>
    </w:p>
    <w:p w14:paraId="76208673" w14:textId="77777777" w:rsidR="00D54B54" w:rsidRPr="007114B7" w:rsidRDefault="00D54B54" w:rsidP="00D54B54">
      <w:pPr>
        <w:spacing w:line="480" w:lineRule="auto"/>
        <w:ind w:left="720" w:hanging="720"/>
        <w:jc w:val="both"/>
      </w:pPr>
      <w:r w:rsidRPr="007114B7">
        <w:t>A</w:t>
      </w:r>
      <w:r w:rsidRPr="007114B7">
        <w:tab/>
        <w:t xml:space="preserve">I am recommending more weight be given to the high-end risk premium estimates than the low-end.  As outlined above, I believe the current market is reflecting high premiums for investing in securities of greater levels of investment risk.  Based on this observation, I propose to be conservative in applying a risk premium analysis.  For </w:t>
      </w:r>
      <w:r w:rsidRPr="007114B7">
        <w:lastRenderedPageBreak/>
        <w:t xml:space="preserve">these reasons, I will recommend my high-end equity risk premium in forming a return on equity in this proceeding.  </w:t>
      </w:r>
    </w:p>
    <w:p w14:paraId="58D2D4EC" w14:textId="66962804" w:rsidR="00D54B54" w:rsidRPr="007114B7" w:rsidRDefault="00D54B54" w:rsidP="00D54B54">
      <w:pPr>
        <w:spacing w:line="480" w:lineRule="auto"/>
        <w:ind w:left="720" w:firstLine="720"/>
        <w:jc w:val="both"/>
      </w:pPr>
      <w:r w:rsidRPr="007114B7">
        <w:t xml:space="preserve">For Treasury bond yields, </w:t>
      </w:r>
      <w:r w:rsidR="008C51B4">
        <w:t>I propose a risk premium of 6.36</w:t>
      </w:r>
      <w:r w:rsidRPr="007114B7">
        <w:t>%.  I relied on the risk premium at approximately the 75</w:t>
      </w:r>
      <w:r w:rsidRPr="007114B7">
        <w:rPr>
          <w:vertAlign w:val="superscript"/>
        </w:rPr>
        <w:t>th</w:t>
      </w:r>
      <w:r w:rsidRPr="007114B7">
        <w:t xml:space="preserve"> </w:t>
      </w:r>
      <w:r w:rsidR="008C51B4">
        <w:t>percentile of the range, or 6.36</w:t>
      </w:r>
      <w:r w:rsidRPr="007114B7">
        <w:t>%, to recognize clear, observable evidence that risk premiums are at abnormally high levels right now, but to also recognize that the projected Treasury bond yield is considerably higher than current observable bond yields.  Using a Tr</w:t>
      </w:r>
      <w:r w:rsidR="008C51B4">
        <w:t>easury bond risk premium of 6.36</w:t>
      </w:r>
      <w:r w:rsidRPr="007114B7">
        <w:t>% and a projected Treasury bond yield of 2.60%</w:t>
      </w:r>
      <w:r w:rsidRPr="007114B7">
        <w:rPr>
          <w:vertAlign w:val="superscript"/>
        </w:rPr>
        <w:footnoteReference w:id="28"/>
      </w:r>
      <w:r w:rsidRPr="007114B7">
        <w:rPr>
          <w:vertAlign w:val="superscript"/>
        </w:rPr>
        <w:t xml:space="preserve"> </w:t>
      </w:r>
      <w:r w:rsidRPr="007114B7">
        <w:t>produces an indicated equity</w:t>
      </w:r>
      <w:r w:rsidR="008C51B4">
        <w:t xml:space="preserve"> risk premium of 8.96% (6.36</w:t>
      </w:r>
      <w:r w:rsidRPr="007114B7">
        <w:t xml:space="preserve">% + 2.60%).  </w:t>
      </w:r>
    </w:p>
    <w:p w14:paraId="2B3F5859" w14:textId="6415BACC" w:rsidR="00D54B54" w:rsidRPr="007114B7" w:rsidRDefault="00D54B54" w:rsidP="00D54B54">
      <w:pPr>
        <w:spacing w:line="480" w:lineRule="auto"/>
        <w:ind w:left="720" w:firstLine="720"/>
        <w:jc w:val="both"/>
      </w:pPr>
      <w:r w:rsidRPr="007114B7">
        <w:t xml:space="preserve">A risk premium based on utility bond yields was also based on a high-end estimate.  However, because current observable yields are employed in this risk premium study, In regard to my utility risk premium, I am relying on the high-end estimate in the study of 5.89% on my </w:t>
      </w:r>
      <w:r w:rsidRPr="00E92E03">
        <w:t>Exhibit MPG-13</w:t>
      </w:r>
      <w:r w:rsidRPr="007114B7">
        <w:t xml:space="preserve"> and the curre</w:t>
      </w:r>
      <w:r>
        <w:t xml:space="preserve">nt 13-week </w:t>
      </w:r>
      <w:r w:rsidR="008C51B4">
        <w:t xml:space="preserve">Baa </w:t>
      </w:r>
      <w:r>
        <w:t>utility yield of 3.22</w:t>
      </w:r>
      <w:r w:rsidRPr="007114B7">
        <w:t xml:space="preserve">% as developed on my </w:t>
      </w:r>
      <w:r w:rsidRPr="00E92E03">
        <w:t>Exhibit MPG-15</w:t>
      </w:r>
      <w:r w:rsidRPr="007114B7">
        <w:t>.  Hence, a risk premium based on utility bond yields indi</w:t>
      </w:r>
      <w:r>
        <w:t>cates a return on equity of 9.11</w:t>
      </w:r>
      <w:r w:rsidRPr="007114B7">
        <w:t xml:space="preserve">% </w:t>
      </w:r>
      <w:r>
        <w:t>(5.89% + 3.22</w:t>
      </w:r>
      <w:r w:rsidRPr="007114B7">
        <w:t>%).</w:t>
      </w:r>
    </w:p>
    <w:p w14:paraId="382D166A" w14:textId="23139374" w:rsidR="00D54B54" w:rsidRPr="007114B7" w:rsidRDefault="00D54B54" w:rsidP="00D54B54">
      <w:pPr>
        <w:spacing w:line="480" w:lineRule="auto"/>
        <w:ind w:left="720" w:firstLine="720"/>
        <w:jc w:val="both"/>
      </w:pPr>
      <w:r w:rsidRPr="007114B7">
        <w:t>Based on this methodology, my Treasury bond risk premium and my utility bond risk premium indicate a retu</w:t>
      </w:r>
      <w:r>
        <w:t>rn in the range of 8.9</w:t>
      </w:r>
      <w:r w:rsidR="008C51B4">
        <w:t>6</w:t>
      </w:r>
      <w:r>
        <w:t>% to 9.11</w:t>
      </w:r>
      <w:r w:rsidRPr="007114B7">
        <w:t>%, wit</w:t>
      </w:r>
      <w:r>
        <w:t>h an approximate midpoint of 9.0</w:t>
      </w:r>
      <w:r w:rsidRPr="007114B7">
        <w:t xml:space="preserve">%.  </w:t>
      </w:r>
    </w:p>
    <w:p w14:paraId="34C1B04F" w14:textId="77777777" w:rsidR="00D54B54" w:rsidRPr="007114B7" w:rsidRDefault="00D54B54" w:rsidP="00D54B54">
      <w:pPr>
        <w:suppressLineNumbers/>
        <w:spacing w:line="480" w:lineRule="auto"/>
        <w:ind w:left="720" w:hanging="720"/>
        <w:jc w:val="both"/>
        <w:rPr>
          <w:color w:val="000000"/>
        </w:rPr>
      </w:pPr>
      <w:bookmarkStart w:id="76" w:name="_Toc63936865"/>
      <w:bookmarkStart w:id="77" w:name="_Toc67399030"/>
      <w:bookmarkStart w:id="78" w:name="_Toc74922991"/>
      <w:bookmarkStart w:id="79" w:name="_Toc82676393"/>
    </w:p>
    <w:p w14:paraId="05958B56" w14:textId="77777777" w:rsidR="00D54B54" w:rsidRPr="00153C46" w:rsidRDefault="00D54B54" w:rsidP="00D54B54">
      <w:pPr>
        <w:pStyle w:val="Heading2"/>
      </w:pPr>
      <w:bookmarkStart w:id="80" w:name="_Toc83990841"/>
      <w:bookmarkStart w:id="81" w:name="_Toc84318885"/>
      <w:bookmarkStart w:id="82" w:name="_Toc85028734"/>
      <w:proofErr w:type="spellStart"/>
      <w:r w:rsidRPr="00153C46">
        <w:t>III.G</w:t>
      </w:r>
      <w:proofErr w:type="spellEnd"/>
      <w:r w:rsidRPr="00153C46">
        <w:t>.  Capital Asset Pricing Model (“</w:t>
      </w:r>
      <w:proofErr w:type="spellStart"/>
      <w:r w:rsidRPr="00153C46">
        <w:t>CAPM</w:t>
      </w:r>
      <w:proofErr w:type="spellEnd"/>
      <w:r w:rsidRPr="00153C46">
        <w:t>”)</w:t>
      </w:r>
      <w:bookmarkEnd w:id="76"/>
      <w:bookmarkEnd w:id="77"/>
      <w:bookmarkEnd w:id="78"/>
      <w:bookmarkEnd w:id="79"/>
      <w:bookmarkEnd w:id="80"/>
      <w:bookmarkEnd w:id="81"/>
      <w:bookmarkEnd w:id="82"/>
    </w:p>
    <w:p w14:paraId="550F2467" w14:textId="77777777" w:rsidR="00D54B54" w:rsidRPr="007114B7" w:rsidRDefault="00D54B54" w:rsidP="00D54B54">
      <w:pPr>
        <w:spacing w:after="240"/>
        <w:ind w:left="720" w:hanging="720"/>
        <w:jc w:val="both"/>
        <w:rPr>
          <w:b/>
          <w:bCs/>
          <w:caps/>
        </w:rPr>
      </w:pPr>
      <w:r w:rsidRPr="007114B7">
        <w:rPr>
          <w:b/>
          <w:bCs/>
          <w:caps/>
        </w:rPr>
        <w:t>Q</w:t>
      </w:r>
      <w:r w:rsidRPr="007114B7">
        <w:rPr>
          <w:b/>
          <w:bCs/>
          <w:caps/>
        </w:rPr>
        <w:tab/>
        <w:t xml:space="preserve">PLEASE DESCRIBE THE </w:t>
      </w:r>
      <w:proofErr w:type="spellStart"/>
      <w:r w:rsidRPr="007114B7">
        <w:rPr>
          <w:b/>
          <w:bCs/>
          <w:caps/>
        </w:rPr>
        <w:t>CAPM</w:t>
      </w:r>
      <w:proofErr w:type="spellEnd"/>
      <w:r w:rsidRPr="007114B7">
        <w:rPr>
          <w:b/>
          <w:bCs/>
          <w:caps/>
        </w:rPr>
        <w:t>.</w:t>
      </w:r>
    </w:p>
    <w:p w14:paraId="40F46C2B" w14:textId="77777777" w:rsidR="00D54B54" w:rsidRPr="007114B7" w:rsidRDefault="00D54B54" w:rsidP="00D54B54">
      <w:pPr>
        <w:spacing w:line="480" w:lineRule="auto"/>
        <w:ind w:left="720" w:hanging="720"/>
        <w:jc w:val="both"/>
      </w:pPr>
      <w:r w:rsidRPr="007114B7">
        <w:t>A</w:t>
      </w:r>
      <w:r w:rsidRPr="007114B7">
        <w:tab/>
        <w:t xml:space="preserve">The </w:t>
      </w:r>
      <w:proofErr w:type="spellStart"/>
      <w:r w:rsidRPr="007114B7">
        <w:t>CAPM</w:t>
      </w:r>
      <w:proofErr w:type="spellEnd"/>
      <w:r w:rsidRPr="007114B7">
        <w:t xml:space="preserve"> method of analysis is based upon the theory that the market-required rate of return for a security is equal to the risk-free rate, plus a risk premium associated with </w:t>
      </w:r>
      <w:r w:rsidRPr="007114B7">
        <w:lastRenderedPageBreak/>
        <w:t>the specific security.  This relationship between risk and return can be expressed mathematically as follows:</w:t>
      </w:r>
    </w:p>
    <w:p w14:paraId="7BE684E9" w14:textId="77777777" w:rsidR="00D54B54" w:rsidRPr="007114B7" w:rsidRDefault="00D54B54" w:rsidP="00D54B54">
      <w:pPr>
        <w:spacing w:line="480" w:lineRule="auto"/>
        <w:ind w:left="720" w:hanging="720"/>
        <w:jc w:val="both"/>
      </w:pPr>
      <w:r w:rsidRPr="007114B7">
        <w:tab/>
      </w:r>
      <w:r w:rsidRPr="007114B7">
        <w:tab/>
      </w:r>
      <w:proofErr w:type="spellStart"/>
      <w:r w:rsidRPr="007114B7">
        <w:t>R</w:t>
      </w:r>
      <w:r w:rsidRPr="007114B7">
        <w:rPr>
          <w:vertAlign w:val="subscript"/>
        </w:rPr>
        <w:t>i</w:t>
      </w:r>
      <w:proofErr w:type="spellEnd"/>
      <w:r w:rsidRPr="007114B7">
        <w:t xml:space="preserve"> = </w:t>
      </w:r>
      <w:proofErr w:type="spellStart"/>
      <w:r w:rsidRPr="007114B7">
        <w:t>R</w:t>
      </w:r>
      <w:r w:rsidRPr="007114B7">
        <w:rPr>
          <w:vertAlign w:val="subscript"/>
        </w:rPr>
        <w:t>f</w:t>
      </w:r>
      <w:proofErr w:type="spellEnd"/>
      <w:r w:rsidRPr="007114B7">
        <w:t xml:space="preserve"> + B</w:t>
      </w:r>
      <w:r w:rsidRPr="007114B7">
        <w:rPr>
          <w:vertAlign w:val="subscript"/>
        </w:rPr>
        <w:t>i</w:t>
      </w:r>
      <w:r w:rsidRPr="007114B7">
        <w:t xml:space="preserve"> x (R</w:t>
      </w:r>
      <w:r w:rsidRPr="007114B7">
        <w:rPr>
          <w:vertAlign w:val="subscript"/>
        </w:rPr>
        <w:t>m</w:t>
      </w:r>
      <w:r w:rsidRPr="007114B7">
        <w:t xml:space="preserve"> - </w:t>
      </w:r>
      <w:proofErr w:type="spellStart"/>
      <w:r w:rsidRPr="007114B7">
        <w:t>R</w:t>
      </w:r>
      <w:r w:rsidRPr="007114B7">
        <w:rPr>
          <w:vertAlign w:val="subscript"/>
        </w:rPr>
        <w:t>f</w:t>
      </w:r>
      <w:proofErr w:type="spellEnd"/>
      <w:r w:rsidRPr="007114B7">
        <w:t>) where:</w:t>
      </w:r>
    </w:p>
    <w:p w14:paraId="5585CFEF" w14:textId="77777777" w:rsidR="00D54B54" w:rsidRPr="007114B7" w:rsidRDefault="00D54B54" w:rsidP="00D54B54">
      <w:pPr>
        <w:tabs>
          <w:tab w:val="left" w:pos="1440"/>
          <w:tab w:val="left" w:pos="2160"/>
          <w:tab w:val="left" w:pos="2520"/>
        </w:tabs>
        <w:ind w:left="720" w:hanging="720"/>
        <w:jc w:val="both"/>
      </w:pPr>
      <w:r w:rsidRPr="007114B7">
        <w:tab/>
      </w:r>
      <w:r w:rsidRPr="007114B7">
        <w:tab/>
      </w:r>
      <w:r w:rsidRPr="007114B7">
        <w:tab/>
      </w:r>
      <w:proofErr w:type="spellStart"/>
      <w:r w:rsidRPr="007114B7">
        <w:t>R</w:t>
      </w:r>
      <w:r w:rsidRPr="007114B7">
        <w:rPr>
          <w:vertAlign w:val="subscript"/>
        </w:rPr>
        <w:t>i</w:t>
      </w:r>
      <w:proofErr w:type="spellEnd"/>
      <w:r w:rsidRPr="007114B7">
        <w:tab/>
        <w:t xml:space="preserve">= </w:t>
      </w:r>
      <w:r w:rsidRPr="007114B7">
        <w:tab/>
        <w:t xml:space="preserve">Required return for stock </w:t>
      </w:r>
      <w:proofErr w:type="spellStart"/>
      <w:r w:rsidRPr="007114B7">
        <w:t>i</w:t>
      </w:r>
      <w:proofErr w:type="spellEnd"/>
    </w:p>
    <w:p w14:paraId="0986F63E" w14:textId="77777777" w:rsidR="00D54B54" w:rsidRPr="007114B7" w:rsidRDefault="00D54B54" w:rsidP="00D54B54">
      <w:pPr>
        <w:tabs>
          <w:tab w:val="left" w:pos="1440"/>
          <w:tab w:val="left" w:pos="2160"/>
          <w:tab w:val="left" w:pos="2520"/>
        </w:tabs>
        <w:ind w:left="720" w:hanging="720"/>
        <w:jc w:val="both"/>
      </w:pPr>
      <w:r w:rsidRPr="007114B7">
        <w:tab/>
      </w:r>
      <w:r w:rsidRPr="007114B7">
        <w:tab/>
      </w:r>
      <w:r w:rsidRPr="007114B7">
        <w:tab/>
      </w:r>
      <w:proofErr w:type="spellStart"/>
      <w:r w:rsidRPr="007114B7">
        <w:t>R</w:t>
      </w:r>
      <w:r w:rsidRPr="007114B7">
        <w:rPr>
          <w:vertAlign w:val="subscript"/>
        </w:rPr>
        <w:t>f</w:t>
      </w:r>
      <w:proofErr w:type="spellEnd"/>
      <w:r w:rsidRPr="007114B7">
        <w:tab/>
        <w:t>=</w:t>
      </w:r>
      <w:r w:rsidRPr="007114B7">
        <w:tab/>
        <w:t>Risk-free rate</w:t>
      </w:r>
    </w:p>
    <w:p w14:paraId="19A16A03" w14:textId="77777777" w:rsidR="00D54B54" w:rsidRPr="007114B7" w:rsidRDefault="00D54B54" w:rsidP="00D54B54">
      <w:pPr>
        <w:tabs>
          <w:tab w:val="left" w:pos="1440"/>
          <w:tab w:val="left" w:pos="2160"/>
          <w:tab w:val="left" w:pos="2520"/>
        </w:tabs>
        <w:ind w:left="720" w:hanging="720"/>
        <w:jc w:val="both"/>
      </w:pPr>
      <w:r w:rsidRPr="007114B7">
        <w:tab/>
      </w:r>
      <w:r w:rsidRPr="007114B7">
        <w:tab/>
      </w:r>
      <w:r w:rsidRPr="007114B7">
        <w:tab/>
        <w:t>R</w:t>
      </w:r>
      <w:r w:rsidRPr="007114B7">
        <w:rPr>
          <w:vertAlign w:val="subscript"/>
        </w:rPr>
        <w:t>m</w:t>
      </w:r>
      <w:r w:rsidRPr="007114B7">
        <w:tab/>
        <w:t xml:space="preserve">= </w:t>
      </w:r>
      <w:r w:rsidRPr="007114B7">
        <w:tab/>
        <w:t>Expected return for the market portfolio</w:t>
      </w:r>
    </w:p>
    <w:p w14:paraId="606CC57C" w14:textId="77777777" w:rsidR="00D54B54" w:rsidRPr="007114B7" w:rsidRDefault="00D54B54" w:rsidP="00D54B54">
      <w:pPr>
        <w:tabs>
          <w:tab w:val="left" w:pos="1440"/>
          <w:tab w:val="left" w:pos="2160"/>
          <w:tab w:val="left" w:pos="2520"/>
        </w:tabs>
        <w:spacing w:line="480" w:lineRule="auto"/>
        <w:ind w:left="720" w:hanging="720"/>
        <w:jc w:val="both"/>
      </w:pPr>
      <w:r w:rsidRPr="007114B7">
        <w:tab/>
      </w:r>
      <w:r w:rsidRPr="007114B7">
        <w:tab/>
      </w:r>
      <w:r w:rsidRPr="007114B7">
        <w:tab/>
        <w:t>B</w:t>
      </w:r>
      <w:r w:rsidRPr="007114B7">
        <w:rPr>
          <w:vertAlign w:val="subscript"/>
        </w:rPr>
        <w:t>i</w:t>
      </w:r>
      <w:r w:rsidRPr="007114B7">
        <w:tab/>
        <w:t xml:space="preserve">= </w:t>
      </w:r>
      <w:r w:rsidRPr="007114B7">
        <w:tab/>
        <w:t>Beta - Measure of the risk for stock</w:t>
      </w:r>
    </w:p>
    <w:p w14:paraId="47E1226D" w14:textId="77777777" w:rsidR="00D54B54" w:rsidRPr="007114B7" w:rsidRDefault="00D54B54" w:rsidP="00D54B54">
      <w:pPr>
        <w:spacing w:line="480" w:lineRule="auto"/>
        <w:ind w:left="720" w:hanging="720"/>
        <w:jc w:val="both"/>
      </w:pPr>
      <w:r w:rsidRPr="007114B7">
        <w:tab/>
      </w:r>
      <w:r w:rsidRPr="007114B7">
        <w:tab/>
        <w:t>The stock-specific risk term in the above equation is beta.  Beta represents the investment risk that cannot be diversified away when the security is held in a diversified portfolio.  When stocks are held in a diversified portfolio, stock-specific risks can be eliminated by balancing the portfolio with securities that react in the opposite direction to firm-specific risk factors (e.g., business cycle, competition, product mix, and production limitations).</w:t>
      </w:r>
    </w:p>
    <w:p w14:paraId="22F29D85" w14:textId="77777777" w:rsidR="00D54B54" w:rsidRPr="007114B7" w:rsidRDefault="00D54B54" w:rsidP="00D54B54">
      <w:pPr>
        <w:spacing w:line="480" w:lineRule="auto"/>
        <w:ind w:left="720" w:hanging="720"/>
        <w:jc w:val="both"/>
      </w:pPr>
      <w:r w:rsidRPr="007114B7">
        <w:tab/>
      </w:r>
      <w:r w:rsidRPr="007114B7">
        <w:tab/>
        <w:t>Risks that cannot be eliminated when held in a diversified portfolio are non</w:t>
      </w:r>
      <w:r w:rsidRPr="007114B7">
        <w:noBreakHyphen/>
        <w:t>diversifiable risks.  Non-diversifiable risks are related to the market and referred to as systematic risks.  Risks that can be eliminated by diversification are non</w:t>
      </w:r>
      <w:r w:rsidRPr="007114B7">
        <w:noBreakHyphen/>
        <w:t>systematic risks.  In a broad sense, systematic risks are market risks and non</w:t>
      </w:r>
      <w:r w:rsidRPr="007114B7">
        <w:noBreakHyphen/>
        <w:t xml:space="preserve">systematic risks are business risks.  The </w:t>
      </w:r>
      <w:proofErr w:type="spellStart"/>
      <w:r w:rsidRPr="007114B7">
        <w:t>CAPM</w:t>
      </w:r>
      <w:proofErr w:type="spellEnd"/>
      <w:r w:rsidRPr="007114B7">
        <w:t xml:space="preserve"> theory suggests the market will not compensate investors for assuming risks that can be diversified away.  Therefore, the only risk investors will be compensated for are systematic, or non</w:t>
      </w:r>
      <w:r w:rsidRPr="007114B7">
        <w:noBreakHyphen/>
        <w:t>diversifiable, risks.  The beta is a measure of the systematic, or non</w:t>
      </w:r>
      <w:r w:rsidRPr="007114B7">
        <w:noBreakHyphen/>
        <w:t>diversifiable risks.</w:t>
      </w:r>
    </w:p>
    <w:p w14:paraId="5091BCB3" w14:textId="77777777" w:rsidR="00D54B54" w:rsidRPr="007114B7" w:rsidRDefault="00D54B54" w:rsidP="00D54B54">
      <w:pPr>
        <w:suppressLineNumbers/>
        <w:spacing w:line="480" w:lineRule="auto"/>
        <w:ind w:left="720" w:hanging="720"/>
        <w:jc w:val="both"/>
        <w:rPr>
          <w:color w:val="000000"/>
        </w:rPr>
      </w:pPr>
    </w:p>
    <w:p w14:paraId="02010083" w14:textId="77777777" w:rsidR="00D54B54" w:rsidRPr="007114B7" w:rsidRDefault="00D54B54" w:rsidP="00D54B54">
      <w:pPr>
        <w:spacing w:line="480" w:lineRule="auto"/>
        <w:ind w:left="720" w:hanging="720"/>
        <w:jc w:val="both"/>
        <w:rPr>
          <w:b/>
          <w:bCs/>
          <w:caps/>
        </w:rPr>
      </w:pPr>
      <w:r w:rsidRPr="007114B7">
        <w:rPr>
          <w:b/>
          <w:bCs/>
          <w:caps/>
        </w:rPr>
        <w:t>Q</w:t>
      </w:r>
      <w:r w:rsidRPr="007114B7">
        <w:rPr>
          <w:b/>
          <w:bCs/>
          <w:caps/>
        </w:rPr>
        <w:tab/>
        <w:t xml:space="preserve">PLEASE DESCRIBE THE INPUTS TO YOUR </w:t>
      </w:r>
      <w:proofErr w:type="spellStart"/>
      <w:r w:rsidRPr="007114B7">
        <w:rPr>
          <w:b/>
          <w:bCs/>
          <w:caps/>
        </w:rPr>
        <w:t>CAPM</w:t>
      </w:r>
      <w:proofErr w:type="spellEnd"/>
      <w:r w:rsidRPr="007114B7">
        <w:rPr>
          <w:b/>
          <w:bCs/>
          <w:caps/>
        </w:rPr>
        <w:t>.</w:t>
      </w:r>
    </w:p>
    <w:p w14:paraId="7B7D6120" w14:textId="77777777" w:rsidR="00D54B54" w:rsidRPr="007114B7" w:rsidRDefault="00D54B54" w:rsidP="00D54B54">
      <w:pPr>
        <w:spacing w:line="480" w:lineRule="auto"/>
        <w:ind w:left="720" w:hanging="720"/>
        <w:jc w:val="both"/>
      </w:pPr>
      <w:r w:rsidRPr="007114B7">
        <w:t>A</w:t>
      </w:r>
      <w:r w:rsidRPr="007114B7">
        <w:tab/>
        <w:t xml:space="preserve">The </w:t>
      </w:r>
      <w:proofErr w:type="spellStart"/>
      <w:r w:rsidRPr="007114B7">
        <w:t>CAPM</w:t>
      </w:r>
      <w:proofErr w:type="spellEnd"/>
      <w:r w:rsidRPr="007114B7">
        <w:t xml:space="preserve"> requires an estimate of the market risk-free rate, </w:t>
      </w:r>
      <w:proofErr w:type="spellStart"/>
      <w:r>
        <w:rPr>
          <w:rFonts w:eastAsia="Calibri"/>
        </w:rPr>
        <w:t>EPE</w:t>
      </w:r>
      <w:r>
        <w:t>’</w:t>
      </w:r>
      <w:r w:rsidRPr="007114B7">
        <w:t>s</w:t>
      </w:r>
      <w:proofErr w:type="spellEnd"/>
      <w:r w:rsidRPr="007114B7">
        <w:t xml:space="preserve"> beta, and the market risk premium.</w:t>
      </w:r>
    </w:p>
    <w:p w14:paraId="14040A08" w14:textId="77777777" w:rsidR="00D54B54" w:rsidRPr="007114B7" w:rsidRDefault="00D54B54" w:rsidP="00D54B54">
      <w:pPr>
        <w:suppressLineNumbers/>
        <w:spacing w:line="480" w:lineRule="auto"/>
        <w:ind w:left="720" w:hanging="720"/>
        <w:jc w:val="both"/>
        <w:rPr>
          <w:color w:val="000000"/>
        </w:rPr>
      </w:pPr>
    </w:p>
    <w:p w14:paraId="7A01939E" w14:textId="77777777" w:rsidR="00D54B54" w:rsidRPr="007114B7" w:rsidRDefault="00D54B54" w:rsidP="00D54B54">
      <w:pPr>
        <w:keepNext/>
        <w:keepLines/>
        <w:spacing w:line="480" w:lineRule="auto"/>
        <w:ind w:left="720" w:hanging="720"/>
        <w:jc w:val="both"/>
        <w:rPr>
          <w:b/>
          <w:bCs/>
          <w:caps/>
        </w:rPr>
      </w:pPr>
      <w:r w:rsidRPr="007114B7">
        <w:rPr>
          <w:b/>
          <w:bCs/>
          <w:caps/>
        </w:rPr>
        <w:lastRenderedPageBreak/>
        <w:t>Q</w:t>
      </w:r>
      <w:r w:rsidRPr="007114B7">
        <w:rPr>
          <w:b/>
          <w:bCs/>
          <w:caps/>
        </w:rPr>
        <w:tab/>
        <w:t>WHAT DID YOU USE AS AN ESTIMATE OF THE MARKET RISK-FREE RATE?</w:t>
      </w:r>
    </w:p>
    <w:p w14:paraId="298915E0" w14:textId="77777777" w:rsidR="00D54B54" w:rsidRPr="007114B7" w:rsidRDefault="00D54B54" w:rsidP="00D54B54">
      <w:pPr>
        <w:spacing w:line="480" w:lineRule="auto"/>
        <w:ind w:left="720" w:hanging="720"/>
        <w:jc w:val="both"/>
      </w:pPr>
      <w:r w:rsidRPr="007114B7">
        <w:t>A</w:t>
      </w:r>
      <w:r w:rsidRPr="007114B7">
        <w:tab/>
        <w:t xml:space="preserve">As previously noted, </w:t>
      </w:r>
      <w:r w:rsidRPr="007114B7">
        <w:rPr>
          <w:i/>
        </w:rPr>
        <w:t>Blue Chip Financial Forecasts</w:t>
      </w:r>
      <w:r>
        <w:t>’</w:t>
      </w:r>
      <w:r w:rsidRPr="007114B7">
        <w:t xml:space="preserve"> projected 30-year Treasury bond yield is 2.60%.</w:t>
      </w:r>
      <w:r w:rsidRPr="007114B7">
        <w:rPr>
          <w:vertAlign w:val="superscript"/>
        </w:rPr>
        <w:footnoteReference w:id="29"/>
      </w:r>
      <w:r w:rsidRPr="007114B7">
        <w:t xml:space="preserve">  The current 30-year Tre</w:t>
      </w:r>
      <w:r>
        <w:t>asury bond yield is 1.96</w:t>
      </w:r>
      <w:r w:rsidRPr="007114B7">
        <w:t xml:space="preserve">%, as shown in </w:t>
      </w:r>
      <w:r w:rsidRPr="00E92E03">
        <w:t>Exhibit MPG-15</w:t>
      </w:r>
      <w:r w:rsidRPr="007114B7">
        <w:t xml:space="preserve">.  </w:t>
      </w:r>
    </w:p>
    <w:p w14:paraId="0B19076C" w14:textId="77777777" w:rsidR="00D54B54" w:rsidRPr="007114B7" w:rsidRDefault="00D54B54" w:rsidP="00D54B54">
      <w:pPr>
        <w:suppressLineNumbers/>
        <w:spacing w:line="480" w:lineRule="auto"/>
        <w:ind w:left="720" w:hanging="720"/>
        <w:jc w:val="both"/>
        <w:rPr>
          <w:color w:val="000000"/>
        </w:rPr>
      </w:pPr>
    </w:p>
    <w:p w14:paraId="5A3E73EE" w14:textId="77777777" w:rsidR="00D54B54" w:rsidRPr="007114B7" w:rsidRDefault="00D54B54" w:rsidP="00D54B54">
      <w:pPr>
        <w:spacing w:line="480" w:lineRule="auto"/>
        <w:ind w:left="720" w:hanging="720"/>
        <w:jc w:val="both"/>
        <w:rPr>
          <w:b/>
          <w:bCs/>
          <w:caps/>
        </w:rPr>
      </w:pPr>
      <w:r w:rsidRPr="007114B7">
        <w:rPr>
          <w:b/>
          <w:bCs/>
          <w:caps/>
        </w:rPr>
        <w:t>Q</w:t>
      </w:r>
      <w:r w:rsidRPr="007114B7">
        <w:rPr>
          <w:b/>
          <w:bCs/>
          <w:caps/>
        </w:rPr>
        <w:tab/>
        <w:t>WHY DID YOU USE LONG-TERM TREASURY BOND YIELDS AS AN ESTIMATE OF THE RISK-FREE RATE?</w:t>
      </w:r>
    </w:p>
    <w:p w14:paraId="28F2460F" w14:textId="77777777" w:rsidR="00D54B54" w:rsidRPr="007114B7" w:rsidRDefault="00D54B54" w:rsidP="00D54B54">
      <w:pPr>
        <w:spacing w:line="480" w:lineRule="auto"/>
        <w:ind w:left="720" w:hanging="720"/>
        <w:jc w:val="both"/>
      </w:pPr>
      <w:r w:rsidRPr="007114B7">
        <w:t>A</w:t>
      </w:r>
      <w:r w:rsidRPr="007114B7">
        <w:tab/>
        <w:t>Treasury securities are backed by the full faith and credit of the United States government.  Therefore, long-term Treasury bonds are considered to have negligible credit risk.  Also, long-term Treasury bonds have an investment horizon similar to that of common stock.  As a result, investor-anticipated long-run inflation expectations are reflected in both common stock required returns and long-term bond yields.  Therefore, the nominal risk-free rate (or expected inflation rate and real risk-free rate) included in a long-term bond yield is a reasonable estimate of the nominal risk-free rate included in common stock returns.</w:t>
      </w:r>
    </w:p>
    <w:p w14:paraId="717663B2" w14:textId="77777777" w:rsidR="00D54B54" w:rsidRPr="007114B7" w:rsidRDefault="00D54B54" w:rsidP="00D54B54">
      <w:pPr>
        <w:spacing w:line="480" w:lineRule="auto"/>
        <w:ind w:left="720" w:hanging="720"/>
        <w:jc w:val="both"/>
      </w:pPr>
      <w:r w:rsidRPr="007114B7">
        <w:tab/>
      </w:r>
      <w:r w:rsidRPr="007114B7">
        <w:tab/>
        <w:t>Treasury bond yields, however, do include risk premiums related to unanticipated future inflation and interest rates.  In this regard, a Treasury bond yield is not a risk</w:t>
      </w:r>
      <w:r w:rsidRPr="007114B7">
        <w:noBreakHyphen/>
        <w:t xml:space="preserve">free rate.  Risk premiums related to unanticipated inflation and interest rates reflect systematic market risks.  Consequently, for companies with betas less than 1.0, using the Treasury bond yield as a proxy for the risk-free rate in the </w:t>
      </w:r>
      <w:proofErr w:type="spellStart"/>
      <w:r w:rsidRPr="007114B7">
        <w:t>CAPM</w:t>
      </w:r>
      <w:proofErr w:type="spellEnd"/>
      <w:r w:rsidRPr="007114B7">
        <w:t xml:space="preserve"> analysis can produce an overstated estimate of the </w:t>
      </w:r>
      <w:proofErr w:type="spellStart"/>
      <w:r w:rsidRPr="007114B7">
        <w:t>CAPM</w:t>
      </w:r>
      <w:proofErr w:type="spellEnd"/>
      <w:r w:rsidRPr="007114B7">
        <w:t xml:space="preserve"> return.</w:t>
      </w:r>
    </w:p>
    <w:p w14:paraId="65DB90FC" w14:textId="77777777" w:rsidR="00D54B54" w:rsidRPr="007114B7" w:rsidRDefault="00D54B54" w:rsidP="00D54B54">
      <w:pPr>
        <w:suppressLineNumbers/>
        <w:spacing w:line="480" w:lineRule="auto"/>
        <w:ind w:left="720" w:hanging="720"/>
        <w:jc w:val="both"/>
        <w:rPr>
          <w:color w:val="000000"/>
        </w:rPr>
      </w:pPr>
    </w:p>
    <w:p w14:paraId="3355EDFD" w14:textId="77777777" w:rsidR="00D54B54" w:rsidRPr="007114B7" w:rsidRDefault="00D54B54" w:rsidP="00D54B54">
      <w:pPr>
        <w:keepNext/>
        <w:keepLines/>
        <w:spacing w:line="480" w:lineRule="auto"/>
        <w:ind w:left="720" w:hanging="720"/>
        <w:jc w:val="both"/>
        <w:rPr>
          <w:b/>
          <w:bCs/>
          <w:caps/>
        </w:rPr>
      </w:pPr>
      <w:r w:rsidRPr="007114B7">
        <w:rPr>
          <w:b/>
          <w:bCs/>
          <w:caps/>
        </w:rPr>
        <w:lastRenderedPageBreak/>
        <w:t>Q</w:t>
      </w:r>
      <w:r w:rsidRPr="007114B7">
        <w:rPr>
          <w:b/>
          <w:bCs/>
          <w:caps/>
        </w:rPr>
        <w:tab/>
        <w:t>WHAT BETA DID YOU USE IN YOUR ANALYSIS?</w:t>
      </w:r>
    </w:p>
    <w:p w14:paraId="0297BF9B" w14:textId="66B2DDD5" w:rsidR="00D54B54" w:rsidRPr="007114B7" w:rsidRDefault="00D54B54" w:rsidP="00D54B54">
      <w:pPr>
        <w:spacing w:line="480" w:lineRule="auto"/>
        <w:ind w:left="720" w:hanging="720"/>
        <w:jc w:val="both"/>
      </w:pPr>
      <w:r w:rsidRPr="007114B7">
        <w:t>A</w:t>
      </w:r>
      <w:r w:rsidRPr="007114B7">
        <w:tab/>
        <w:t xml:space="preserve">As shown on my </w:t>
      </w:r>
      <w:r w:rsidRPr="00E92E03">
        <w:t>Exhibit MPG-16, page 1</w:t>
      </w:r>
      <w:r w:rsidRPr="007114B7">
        <w:t>, the average beta of my proxy group is 0.</w:t>
      </w:r>
      <w:r>
        <w:t>89</w:t>
      </w:r>
      <w:r w:rsidRPr="007114B7">
        <w:t>.</w:t>
      </w:r>
      <w:r w:rsidRPr="007114B7">
        <w:rPr>
          <w:b/>
        </w:rPr>
        <w:t xml:space="preserve">  </w:t>
      </w:r>
      <w:r w:rsidRPr="007114B7">
        <w:t xml:space="preserve">This means that my proxy group is less risky than the market as a whole.  I also reviewed the long-term trend of </w:t>
      </w:r>
      <w:r w:rsidRPr="007114B7">
        <w:rPr>
          <w:i/>
        </w:rPr>
        <w:t>Value Line</w:t>
      </w:r>
      <w:r w:rsidRPr="007114B7">
        <w:t xml:space="preserve"> betas reported for the proxy group companies.  As shown on </w:t>
      </w:r>
      <w:r w:rsidRPr="00E92E03">
        <w:t>Exhibit MPG-16, page 2</w:t>
      </w:r>
      <w:r w:rsidRPr="007114B7">
        <w:t>, the proxy group</w:t>
      </w:r>
      <w:r>
        <w:t>’</w:t>
      </w:r>
      <w:r w:rsidRPr="007114B7">
        <w:t>s betas have generally ranged between 0.6</w:t>
      </w:r>
      <w:r>
        <w:t>5</w:t>
      </w:r>
      <w:r w:rsidRPr="007114B7">
        <w:t xml:space="preserve"> and 0.</w:t>
      </w:r>
      <w:r>
        <w:t>75</w:t>
      </w:r>
      <w:r w:rsidRPr="007114B7">
        <w:t xml:space="preserve"> prior to the elevated betas published after the </w:t>
      </w:r>
      <w:r w:rsidR="008C4BD5" w:rsidRPr="007114B7">
        <w:t>COVID</w:t>
      </w:r>
      <w:r w:rsidRPr="007114B7">
        <w:t>-19 pandemic commenced.  The proxy group average normalized historical beta is 0.7</w:t>
      </w:r>
      <w:r>
        <w:t>1</w:t>
      </w:r>
      <w:r w:rsidRPr="007114B7">
        <w:t>.  Thus, the current beta estimates of around 0.</w:t>
      </w:r>
      <w:r>
        <w:t>89</w:t>
      </w:r>
      <w:r w:rsidRPr="007114B7">
        <w:t xml:space="preserve"> are well above the normalized historical beta.</w:t>
      </w:r>
    </w:p>
    <w:p w14:paraId="129E55BC" w14:textId="77777777" w:rsidR="00D54B54" w:rsidRPr="007114B7" w:rsidRDefault="00D54B54" w:rsidP="00D54B54">
      <w:pPr>
        <w:suppressLineNumbers/>
        <w:spacing w:line="480" w:lineRule="auto"/>
        <w:ind w:left="720" w:hanging="720"/>
        <w:jc w:val="both"/>
        <w:rPr>
          <w:color w:val="000000"/>
        </w:rPr>
      </w:pPr>
    </w:p>
    <w:p w14:paraId="5F4BB828" w14:textId="77777777" w:rsidR="00D54B54" w:rsidRPr="007114B7" w:rsidRDefault="00D54B54" w:rsidP="00D54B54">
      <w:pPr>
        <w:keepNext/>
        <w:keepLines/>
        <w:spacing w:line="480" w:lineRule="auto"/>
        <w:ind w:left="720" w:hanging="720"/>
        <w:jc w:val="both"/>
        <w:rPr>
          <w:b/>
          <w:caps/>
        </w:rPr>
      </w:pPr>
      <w:r w:rsidRPr="007114B7">
        <w:rPr>
          <w:b/>
          <w:caps/>
        </w:rPr>
        <w:t>Q</w:t>
      </w:r>
      <w:r w:rsidRPr="007114B7">
        <w:rPr>
          <w:b/>
          <w:caps/>
        </w:rPr>
        <w:tab/>
        <w:t xml:space="preserve">IS IT REASONABLE TO ESTIMATE A </w:t>
      </w:r>
      <w:proofErr w:type="spellStart"/>
      <w:r w:rsidRPr="007114B7">
        <w:rPr>
          <w:b/>
          <w:caps/>
        </w:rPr>
        <w:t>CAPM</w:t>
      </w:r>
      <w:proofErr w:type="spellEnd"/>
      <w:r w:rsidRPr="007114B7">
        <w:rPr>
          <w:b/>
          <w:caps/>
        </w:rPr>
        <w:t xml:space="preserve"> RETURN ON A REGULATED UTILITY BASED ON BETA ESTIMATES THAT ARE CLEARLY OUTLIERS FOR HISTORICAL AVERAGE BETAS?</w:t>
      </w:r>
    </w:p>
    <w:p w14:paraId="76E4C379" w14:textId="35224B82" w:rsidR="00D54B54" w:rsidRPr="007114B7" w:rsidRDefault="00D54B54" w:rsidP="00D54B54">
      <w:pPr>
        <w:spacing w:line="480" w:lineRule="auto"/>
        <w:ind w:left="720" w:hanging="720"/>
        <w:jc w:val="both"/>
      </w:pPr>
      <w:r w:rsidRPr="007114B7">
        <w:t>A</w:t>
      </w:r>
      <w:r w:rsidRPr="007114B7">
        <w:tab/>
        <w:t xml:space="preserve">No.  Utility company betas have increased from around 0.65 to 0.75 up to a current level in excess of 0.90  over the last </w:t>
      </w:r>
      <w:r w:rsidR="008C4BD5">
        <w:t xml:space="preserve">two years. </w:t>
      </w:r>
      <w:r w:rsidRPr="007114B7">
        <w:t xml:space="preserve"> This increase in betas suggests that utility companies</w:t>
      </w:r>
      <w:r>
        <w:t>’</w:t>
      </w:r>
      <w:r w:rsidRPr="007114B7">
        <w:t xml:space="preserve"> investment risks are increasing relative to the overall general marketplace.  The outlook of increasing utility investment risk is simply not supported by a review of other risk measures for utilities including:  (a) current robust valuation metrics of utilities as described above; (b) risk spreads of utility stock yields relative to bond yields; (c) sustained investment grade bond ratings</w:t>
      </w:r>
      <w:r w:rsidR="008C4BD5">
        <w:t xml:space="preserve"> for utility companies, and (d) </w:t>
      </w:r>
      <w:r w:rsidRPr="007114B7">
        <w:t xml:space="preserve">access to significant amount of capital.  </w:t>
      </w:r>
      <w:r>
        <w:t xml:space="preserve">Again as shown on </w:t>
      </w:r>
      <w:r w:rsidRPr="00E92E03">
        <w:t>Exhibit MPG-2</w:t>
      </w:r>
      <w:r>
        <w:t>, t</w:t>
      </w:r>
      <w:r w:rsidRPr="007114B7">
        <w:t xml:space="preserve">he historically strong valuation metrics of electric utilities are particularly robust, indicating the market is paying a premium for utility stocks.  </w:t>
      </w:r>
      <w:r>
        <w:t>The fact that utility stocks are trading at a</w:t>
      </w:r>
      <w:r w:rsidRPr="007114B7">
        <w:t xml:space="preserve"> premium </w:t>
      </w:r>
      <w:r>
        <w:t xml:space="preserve">is inconsistent with the notion that </w:t>
      </w:r>
      <w:r w:rsidRPr="007114B7">
        <w:t xml:space="preserve">the market </w:t>
      </w:r>
      <w:r>
        <w:t>perceives</w:t>
      </w:r>
      <w:r w:rsidRPr="007114B7">
        <w:t xml:space="preserve"> th</w:t>
      </w:r>
      <w:r>
        <w:t xml:space="preserve">e utility’s </w:t>
      </w:r>
      <w:r w:rsidRPr="007114B7">
        <w:t>industry</w:t>
      </w:r>
      <w:r>
        <w:t>’</w:t>
      </w:r>
      <w:r w:rsidRPr="007114B7">
        <w:t>s investment risk to be increasing</w:t>
      </w:r>
      <w:r w:rsidR="008C4BD5">
        <w:t xml:space="preserve">.  It </w:t>
      </w:r>
      <w:r>
        <w:t>also shows that the market is not</w:t>
      </w:r>
      <w:r w:rsidR="00AD20D0">
        <w:t xml:space="preserve"> </w:t>
      </w:r>
      <w:r w:rsidRPr="007114B7">
        <w:t>demanding a higher rate of return to invest in these securities.</w:t>
      </w:r>
    </w:p>
    <w:p w14:paraId="412BFD35" w14:textId="7ECDC6B5" w:rsidR="00D54B54" w:rsidRPr="007114B7" w:rsidRDefault="00D54B54" w:rsidP="00D54B54">
      <w:pPr>
        <w:spacing w:line="480" w:lineRule="auto"/>
        <w:ind w:left="720" w:hanging="720"/>
        <w:jc w:val="both"/>
      </w:pPr>
      <w:r w:rsidRPr="007114B7">
        <w:lastRenderedPageBreak/>
        <w:tab/>
      </w:r>
      <w:r w:rsidRPr="007114B7">
        <w:tab/>
        <w:t xml:space="preserve">For these reasons, in performing my </w:t>
      </w:r>
      <w:proofErr w:type="spellStart"/>
      <w:r w:rsidRPr="007114B7">
        <w:t>CAPM</w:t>
      </w:r>
      <w:proofErr w:type="spellEnd"/>
      <w:r w:rsidRPr="007114B7">
        <w:t xml:space="preserve"> I </w:t>
      </w:r>
      <w:r w:rsidR="008C4BD5">
        <w:t>used</w:t>
      </w:r>
      <w:r w:rsidRPr="007114B7">
        <w:t xml:space="preserve"> a more normalized beta and market risk premium factors in order to derive a </w:t>
      </w:r>
      <w:proofErr w:type="spellStart"/>
      <w:r w:rsidRPr="007114B7">
        <w:t>CAPM</w:t>
      </w:r>
      <w:proofErr w:type="spellEnd"/>
      <w:r w:rsidRPr="007114B7">
        <w:t xml:space="preserve"> return estimate in this proceeding.</w:t>
      </w:r>
    </w:p>
    <w:p w14:paraId="4F9DA4A8" w14:textId="77777777" w:rsidR="00D54B54" w:rsidRPr="007114B7" w:rsidRDefault="00D54B54" w:rsidP="00D54B54">
      <w:pPr>
        <w:suppressLineNumbers/>
        <w:spacing w:line="480" w:lineRule="auto"/>
        <w:ind w:left="720" w:hanging="720"/>
        <w:jc w:val="both"/>
        <w:rPr>
          <w:color w:val="000000"/>
        </w:rPr>
      </w:pPr>
    </w:p>
    <w:p w14:paraId="6DC2A907" w14:textId="77777777" w:rsidR="00D54B54" w:rsidRPr="007114B7" w:rsidRDefault="00D54B54" w:rsidP="00D54B54">
      <w:pPr>
        <w:keepNext/>
        <w:spacing w:line="480" w:lineRule="auto"/>
        <w:ind w:left="720" w:hanging="720"/>
        <w:jc w:val="both"/>
        <w:rPr>
          <w:b/>
          <w:bCs/>
          <w:caps/>
        </w:rPr>
      </w:pPr>
      <w:r w:rsidRPr="007114B7">
        <w:rPr>
          <w:b/>
          <w:bCs/>
          <w:caps/>
        </w:rPr>
        <w:t>Q</w:t>
      </w:r>
      <w:r w:rsidRPr="007114B7">
        <w:rPr>
          <w:b/>
          <w:bCs/>
          <w:caps/>
        </w:rPr>
        <w:tab/>
        <w:t>HOW DID YOU DERIVE YOUR MARKET RISK PREMIUM ESTIMATE?</w:t>
      </w:r>
    </w:p>
    <w:p w14:paraId="5FDB763D" w14:textId="0164B64E" w:rsidR="00D54B54" w:rsidRPr="007114B7" w:rsidRDefault="00D54B54" w:rsidP="00D54B54">
      <w:pPr>
        <w:spacing w:line="480" w:lineRule="auto"/>
        <w:ind w:left="720" w:hanging="720"/>
        <w:jc w:val="both"/>
      </w:pPr>
      <w:r w:rsidRPr="007114B7">
        <w:t>A</w:t>
      </w:r>
      <w:r w:rsidRPr="007114B7">
        <w:tab/>
        <w:t xml:space="preserve">I derived two market risk premium estimates: </w:t>
      </w:r>
      <w:r w:rsidR="008C4BD5">
        <w:t xml:space="preserve"> </w:t>
      </w:r>
      <w:r w:rsidRPr="007114B7">
        <w:t>a forward-looking estimate and one based on a long-term historical average.</w:t>
      </w:r>
    </w:p>
    <w:p w14:paraId="0153F661" w14:textId="77777777" w:rsidR="00D54B54" w:rsidRPr="007114B7" w:rsidRDefault="00D54B54" w:rsidP="00D54B54">
      <w:pPr>
        <w:spacing w:line="480" w:lineRule="auto"/>
        <w:ind w:left="720" w:hanging="720"/>
        <w:jc w:val="both"/>
      </w:pPr>
      <w:r w:rsidRPr="007114B7">
        <w:tab/>
      </w:r>
      <w:r w:rsidRPr="007114B7">
        <w:tab/>
        <w:t>The forward-looking estimate was derived by estimating the expected return on the market (as represented by the S&amp;P 500) and subtracting the risk-free rate from this estimate.  I estimated the expected return on the S&amp;P 500 by adding an expected inflation rate to the long-term historical arithmetic average real return on the market.  The real return on the market represents the achieved return above the rate of inflation.</w:t>
      </w:r>
    </w:p>
    <w:p w14:paraId="0D1F9027" w14:textId="77777777" w:rsidR="00D54B54" w:rsidRPr="007114B7" w:rsidRDefault="00D54B54" w:rsidP="00D54B54">
      <w:pPr>
        <w:spacing w:line="480" w:lineRule="auto"/>
        <w:ind w:left="720" w:hanging="720"/>
        <w:jc w:val="both"/>
      </w:pPr>
      <w:r w:rsidRPr="007114B7">
        <w:tab/>
      </w:r>
      <w:r w:rsidRPr="007114B7">
        <w:tab/>
        <w:t>Duff &amp; Phelps</w:t>
      </w:r>
      <w:r>
        <w:t>’</w:t>
      </w:r>
      <w:r w:rsidRPr="007114B7">
        <w:rPr>
          <w:i/>
        </w:rPr>
        <w:t xml:space="preserve"> 2021 </w:t>
      </w:r>
      <w:proofErr w:type="spellStart"/>
      <w:r w:rsidRPr="007114B7">
        <w:rPr>
          <w:i/>
        </w:rPr>
        <w:t>SBBI</w:t>
      </w:r>
      <w:proofErr w:type="spellEnd"/>
      <w:r w:rsidRPr="007114B7">
        <w:rPr>
          <w:i/>
        </w:rPr>
        <w:t xml:space="preserve"> Yearbook </w:t>
      </w:r>
      <w:r w:rsidRPr="007114B7">
        <w:t>estimates the historical arithmetic average real market return over the period 1926 to 2020 to be 9.1%.</w:t>
      </w:r>
      <w:r w:rsidRPr="007114B7">
        <w:rPr>
          <w:vertAlign w:val="superscript"/>
        </w:rPr>
        <w:footnoteReference w:id="30"/>
      </w:r>
      <w:r w:rsidRPr="007114B7">
        <w:t xml:space="preserve">  A current consensus for projected inflation, as measured by the Consumer Price Index, is 2.2%.</w:t>
      </w:r>
      <w:r w:rsidRPr="007114B7">
        <w:rPr>
          <w:vertAlign w:val="superscript"/>
        </w:rPr>
        <w:footnoteReference w:id="31"/>
      </w:r>
      <w:r w:rsidRPr="007114B7">
        <w:t xml:space="preserve">  Using these estimates, the expected market return is 11.50%.</w:t>
      </w:r>
      <w:r w:rsidRPr="007114B7">
        <w:rPr>
          <w:vertAlign w:val="superscript"/>
        </w:rPr>
        <w:footnoteReference w:id="32"/>
      </w:r>
      <w:r w:rsidRPr="007114B7">
        <w:t xml:space="preserve">  The market risk premium then is the difference between the 11.50% expected market return and my 2.60% risk-free rate estimate, or 8.90%, which I referred to as a normalized market risk premium.</w:t>
      </w:r>
    </w:p>
    <w:p w14:paraId="0EE9E264" w14:textId="77777777" w:rsidR="00D54B54" w:rsidRPr="007114B7" w:rsidRDefault="00D54B54" w:rsidP="00D54B54">
      <w:pPr>
        <w:spacing w:line="480" w:lineRule="auto"/>
        <w:ind w:left="720" w:hanging="720"/>
        <w:jc w:val="both"/>
      </w:pPr>
      <w:r w:rsidRPr="007114B7">
        <w:tab/>
      </w:r>
      <w:r w:rsidRPr="007114B7">
        <w:tab/>
        <w:t>I also developed a current market risk premium based on the difference between the expected return on the market of 11.50% as described above and the curren</w:t>
      </w:r>
      <w:r>
        <w:t>t 30-year Treasury yield of 1.96</w:t>
      </w:r>
      <w:r w:rsidRPr="007114B7">
        <w:t xml:space="preserve">% as shown on my </w:t>
      </w:r>
      <w:r w:rsidRPr="00E92E03">
        <w:t>Exhibit MPG-15</w:t>
      </w:r>
      <w:r w:rsidRPr="007114B7">
        <w:t>, which produced a cur</w:t>
      </w:r>
      <w:r>
        <w:t>rent market risk premium of 9.54</w:t>
      </w:r>
      <w:r w:rsidRPr="007114B7">
        <w:t xml:space="preserve">%.  </w:t>
      </w:r>
    </w:p>
    <w:p w14:paraId="3D9EDA7A" w14:textId="77777777" w:rsidR="00D54B54" w:rsidRPr="007114B7" w:rsidRDefault="00D54B54" w:rsidP="00D54B54">
      <w:pPr>
        <w:spacing w:line="480" w:lineRule="auto"/>
        <w:ind w:left="720" w:firstLine="720"/>
        <w:jc w:val="both"/>
      </w:pPr>
      <w:r w:rsidRPr="007114B7">
        <w:lastRenderedPageBreak/>
        <w:t xml:space="preserve">A historical estimate of the market risk premium was also calculated by using data provided by Duff &amp; Phelps in its </w:t>
      </w:r>
      <w:r w:rsidRPr="007114B7">
        <w:rPr>
          <w:i/>
        </w:rPr>
        <w:t xml:space="preserve">2021 </w:t>
      </w:r>
      <w:proofErr w:type="spellStart"/>
      <w:r w:rsidRPr="007114B7">
        <w:rPr>
          <w:i/>
        </w:rPr>
        <w:t>SBBI</w:t>
      </w:r>
      <w:proofErr w:type="spellEnd"/>
      <w:r w:rsidRPr="007114B7">
        <w:rPr>
          <w:i/>
        </w:rPr>
        <w:t xml:space="preserve"> Yearbook</w:t>
      </w:r>
      <w:r w:rsidRPr="007114B7">
        <w:t>.  Over the period 1926 through 2020, the Duff &amp; Phelps study estimated that the arithmetic average of the achieved total return on the S&amp;P 500 was 12.2%</w:t>
      </w:r>
      <w:r w:rsidRPr="007114B7">
        <w:rPr>
          <w:vertAlign w:val="superscript"/>
        </w:rPr>
        <w:footnoteReference w:id="33"/>
      </w:r>
      <w:r w:rsidRPr="007114B7">
        <w:t xml:space="preserve"> and the total return on long</w:t>
      </w:r>
      <w:r w:rsidRPr="007114B7">
        <w:noBreakHyphen/>
        <w:t>term Treasury bonds was 6.1%.</w:t>
      </w:r>
      <w:r w:rsidRPr="007114B7">
        <w:rPr>
          <w:vertAlign w:val="superscript"/>
        </w:rPr>
        <w:footnoteReference w:id="34"/>
      </w:r>
      <w:r w:rsidRPr="007114B7">
        <w:t xml:space="preserve">  The indicated market risk premium is 6.1% (12.2% - 6.1% = 6.1%). </w:t>
      </w:r>
    </w:p>
    <w:p w14:paraId="123048BC" w14:textId="77777777" w:rsidR="00D54B54" w:rsidRPr="007114B7" w:rsidRDefault="00D54B54" w:rsidP="00D54B54">
      <w:pPr>
        <w:spacing w:line="480" w:lineRule="auto"/>
        <w:ind w:left="720" w:firstLine="720"/>
        <w:jc w:val="both"/>
      </w:pPr>
      <w:r w:rsidRPr="007114B7">
        <w:t>The long-term government bond yield of 6.1% occurred during a period of inflation of approximately 2.9%, thus implying a real return on long-term government bonds of 3.2%.</w:t>
      </w:r>
    </w:p>
    <w:p w14:paraId="61631E53" w14:textId="77777777" w:rsidR="00D54B54" w:rsidRPr="007114B7" w:rsidRDefault="00D54B54" w:rsidP="00D54B54">
      <w:pPr>
        <w:suppressLineNumbers/>
        <w:spacing w:line="480" w:lineRule="auto"/>
        <w:ind w:left="720" w:hanging="720"/>
        <w:jc w:val="both"/>
        <w:rPr>
          <w:color w:val="000000"/>
        </w:rPr>
      </w:pPr>
    </w:p>
    <w:p w14:paraId="328F41AD" w14:textId="77777777" w:rsidR="00D54B54" w:rsidRPr="007114B7" w:rsidRDefault="00D54B54" w:rsidP="00D54B54">
      <w:pPr>
        <w:keepNext/>
        <w:keepLines/>
        <w:spacing w:line="480" w:lineRule="auto"/>
        <w:ind w:left="720" w:hanging="720"/>
        <w:jc w:val="both"/>
        <w:rPr>
          <w:b/>
          <w:bCs/>
          <w:caps/>
        </w:rPr>
      </w:pPr>
      <w:r w:rsidRPr="007114B7">
        <w:rPr>
          <w:b/>
          <w:bCs/>
          <w:caps/>
        </w:rPr>
        <w:t>Q</w:t>
      </w:r>
      <w:r w:rsidRPr="007114B7">
        <w:rPr>
          <w:b/>
          <w:bCs/>
          <w:caps/>
        </w:rPr>
        <w:tab/>
        <w:t>HOW DOES YOUR ESTIMATED MARKET RISK PREMIUM RANGE COMPARE TO THAT ESTIMATED BY DUFF &amp; PHELPS?</w:t>
      </w:r>
    </w:p>
    <w:p w14:paraId="3CD7566D" w14:textId="77777777" w:rsidR="00D54B54" w:rsidRPr="007114B7" w:rsidRDefault="00D54B54" w:rsidP="00D54B54">
      <w:pPr>
        <w:spacing w:line="480" w:lineRule="auto"/>
        <w:ind w:left="720" w:hanging="720"/>
        <w:jc w:val="both"/>
      </w:pPr>
      <w:r w:rsidRPr="007114B7">
        <w:t>A</w:t>
      </w:r>
      <w:r w:rsidRPr="007114B7">
        <w:tab/>
        <w:t xml:space="preserve">Duff &amp; Phelps makes several estimates of a forward-looking market risk premium based on actual achieved data from the historical period of 1926 through 2020 as well as normalized data.  Using this data, Duff &amp; Phelps estimates a market risk premium derived from the total return on the securities that comprise the S&amp;P 500, less the income return on Treasury bonds.  The total return includes capital appreciation, dividend or coupon reinvestment returns, and annual yields received from coupons and/or dividend payments.  The income return, in contrast, only reflects the income return received from dividend payments or coupon yields.  </w:t>
      </w:r>
    </w:p>
    <w:p w14:paraId="2C1B5F80" w14:textId="0003FC82" w:rsidR="00D54B54" w:rsidRPr="007114B7" w:rsidRDefault="00D54B54" w:rsidP="00D54B54">
      <w:pPr>
        <w:spacing w:line="480" w:lineRule="auto"/>
        <w:ind w:left="720" w:hanging="720"/>
        <w:jc w:val="both"/>
      </w:pPr>
      <w:r w:rsidRPr="007114B7">
        <w:tab/>
      </w:r>
      <w:r w:rsidRPr="007114B7">
        <w:tab/>
        <w:t>Duff &amp; Phelps</w:t>
      </w:r>
      <w:r>
        <w:t>’</w:t>
      </w:r>
      <w:r w:rsidRPr="007114B7">
        <w:t xml:space="preserve"> range is based on several methodologies.  First, Duff &amp; Phelps estimates a market risk premium of 7.25% based on the difference between the total </w:t>
      </w:r>
      <w:r w:rsidR="008C4BD5">
        <w:lastRenderedPageBreak/>
        <w:t xml:space="preserve">market return </w:t>
      </w:r>
      <w:r w:rsidRPr="007114B7">
        <w:t>on common stocks (S&amp;P 500) less the income return on 20-year Treasury bond investments over the 1926-2020 period.</w:t>
      </w:r>
      <w:r w:rsidRPr="007114B7">
        <w:rPr>
          <w:vertAlign w:val="superscript"/>
        </w:rPr>
        <w:footnoteReference w:id="35"/>
      </w:r>
      <w:r w:rsidRPr="007114B7">
        <w:rPr>
          <w:color w:val="221E1F"/>
          <w:vertAlign w:val="superscript"/>
        </w:rPr>
        <w:t xml:space="preserve"> </w:t>
      </w:r>
      <w:r w:rsidRPr="007114B7">
        <w:rPr>
          <w:color w:val="221E1F"/>
        </w:rPr>
        <w:t xml:space="preserve"> </w:t>
      </w:r>
    </w:p>
    <w:p w14:paraId="312B8B6A" w14:textId="77777777" w:rsidR="00D54B54" w:rsidRPr="007114B7" w:rsidRDefault="00D54B54" w:rsidP="00D54B54">
      <w:pPr>
        <w:spacing w:line="480" w:lineRule="auto"/>
        <w:ind w:left="720" w:hanging="720"/>
        <w:jc w:val="both"/>
      </w:pPr>
      <w:r w:rsidRPr="007114B7">
        <w:tab/>
      </w:r>
      <w:r w:rsidRPr="007114B7">
        <w:tab/>
        <w:t>Second, Duff &amp; Phelps used the Ibbotson &amp; Chen supply-side model which produced a market risk premium estimate of 6.0%.</w:t>
      </w:r>
      <w:r w:rsidRPr="007114B7">
        <w:rPr>
          <w:vertAlign w:val="superscript"/>
        </w:rPr>
        <w:footnoteReference w:id="36"/>
      </w:r>
      <w:r w:rsidRPr="007114B7">
        <w:t xml:space="preserve">  Duff &amp; Phelps explains that the historical market risk premium based on the S&amp;P 500 was influenced by an abnormal expansion of P/E ratios relative to earnings and dividend growth during the period, primarily over the last 30 years.  Duff &amp; Phelps believes this abnormal P/E expansion is not sustainable.  In order to control for the volatility of extraordinary events and their impacts on P/E ratios, Duff &amp; Phelps takes into consideration the three-year average P/E ratio as the current P/E ratio.</w:t>
      </w:r>
      <w:r w:rsidRPr="007114B7">
        <w:rPr>
          <w:vertAlign w:val="superscript"/>
        </w:rPr>
        <w:footnoteReference w:id="37"/>
      </w:r>
      <w:r w:rsidRPr="007114B7">
        <w:rPr>
          <w:vertAlign w:val="superscript"/>
        </w:rPr>
        <w:t xml:space="preserve">  </w:t>
      </w:r>
    </w:p>
    <w:p w14:paraId="6E903A25" w14:textId="77777777" w:rsidR="00D54B54" w:rsidRPr="007114B7" w:rsidRDefault="00D54B54" w:rsidP="00D54B54">
      <w:pPr>
        <w:spacing w:line="480" w:lineRule="auto"/>
        <w:ind w:left="720" w:firstLine="720"/>
        <w:jc w:val="both"/>
      </w:pPr>
      <w:r w:rsidRPr="007114B7">
        <w:t xml:space="preserve">Finally, Duff &amp; Phelps develops its own recommended equity, or market risk premium, by employing an analysis that takes into consideration a wide range of economic information, multiple risk premium estimation methodologies, and the current state of the economy by observing measures such as the level of stock indices and corporate spreads as indicators of perceived risk.  Based on this methodology, and utilizing a </w:t>
      </w:r>
      <w:r>
        <w:t>“</w:t>
      </w:r>
      <w:r w:rsidRPr="007114B7">
        <w:t>normalized</w:t>
      </w:r>
      <w:r>
        <w:t>”</w:t>
      </w:r>
      <w:r w:rsidRPr="007114B7">
        <w:t xml:space="preserve"> risk-free rate of 2.5%, Duff &amp; Phelps concludes the current expected, or forward-looking, market risk premium is 5.5%, implying an expected return on the market of 8.0%.</w:t>
      </w:r>
      <w:r w:rsidRPr="007114B7">
        <w:rPr>
          <w:vertAlign w:val="superscript"/>
        </w:rPr>
        <w:footnoteReference w:id="38"/>
      </w:r>
      <w:r w:rsidRPr="007114B7">
        <w:t xml:space="preserve">  </w:t>
      </w:r>
    </w:p>
    <w:p w14:paraId="2E139913" w14:textId="77777777" w:rsidR="00D54B54" w:rsidRPr="007114B7" w:rsidRDefault="00D54B54" w:rsidP="00D54B54">
      <w:pPr>
        <w:spacing w:line="480" w:lineRule="auto"/>
        <w:ind w:left="720" w:firstLine="720"/>
        <w:jc w:val="both"/>
      </w:pPr>
      <w:r w:rsidRPr="007114B7">
        <w:t>Importantly, Duff &amp; Phelps</w:t>
      </w:r>
      <w:r>
        <w:t>’</w:t>
      </w:r>
      <w:r w:rsidRPr="007114B7">
        <w:t xml:space="preserve"> market risk premiums are measured over a 20-year Treasury bond.  Because I am relying on a projected 30-year Treasury bond yield, the results of my </w:t>
      </w:r>
      <w:proofErr w:type="spellStart"/>
      <w:r w:rsidRPr="007114B7">
        <w:t>CAPM</w:t>
      </w:r>
      <w:proofErr w:type="spellEnd"/>
      <w:r w:rsidRPr="007114B7">
        <w:t xml:space="preserve"> analysis should be considered conservative estimates for the cost of equity. </w:t>
      </w:r>
    </w:p>
    <w:p w14:paraId="0EF7A8D7" w14:textId="77777777" w:rsidR="00D54B54" w:rsidRPr="007114B7" w:rsidRDefault="00D54B54" w:rsidP="00D54B54">
      <w:pPr>
        <w:spacing w:line="480" w:lineRule="auto"/>
        <w:ind w:left="720" w:hanging="720"/>
        <w:jc w:val="both"/>
        <w:rPr>
          <w:b/>
          <w:bCs/>
          <w:caps/>
        </w:rPr>
      </w:pPr>
      <w:r w:rsidRPr="007114B7">
        <w:rPr>
          <w:b/>
          <w:bCs/>
          <w:caps/>
        </w:rPr>
        <w:lastRenderedPageBreak/>
        <w:t>Q</w:t>
      </w:r>
      <w:r w:rsidRPr="007114B7">
        <w:rPr>
          <w:b/>
          <w:bCs/>
          <w:caps/>
        </w:rPr>
        <w:tab/>
        <w:t xml:space="preserve">WHAT ARE THE RESULTS OF YOUR </w:t>
      </w:r>
      <w:proofErr w:type="spellStart"/>
      <w:r w:rsidRPr="007114B7">
        <w:rPr>
          <w:b/>
          <w:bCs/>
          <w:caps/>
        </w:rPr>
        <w:t>CAPM</w:t>
      </w:r>
      <w:proofErr w:type="spellEnd"/>
      <w:r w:rsidRPr="007114B7">
        <w:rPr>
          <w:b/>
          <w:bCs/>
          <w:caps/>
        </w:rPr>
        <w:t xml:space="preserve"> ANALYSIS?</w:t>
      </w:r>
    </w:p>
    <w:p w14:paraId="4E14EF3C" w14:textId="10D74E2F" w:rsidR="00D54B54" w:rsidRPr="007114B7" w:rsidRDefault="00D54B54" w:rsidP="00D54B54">
      <w:pPr>
        <w:spacing w:line="480" w:lineRule="auto"/>
        <w:ind w:left="720" w:hanging="720"/>
        <w:jc w:val="both"/>
      </w:pPr>
      <w:r w:rsidRPr="007114B7">
        <w:t>A</w:t>
      </w:r>
      <w:r w:rsidRPr="007114B7">
        <w:tab/>
        <w:t>The market data outlined above shows that current observable risk-free rates are around 1.9</w:t>
      </w:r>
      <w:r w:rsidR="008C51B4">
        <w:t>6</w:t>
      </w:r>
      <w:r w:rsidRPr="007114B7">
        <w:t>%, but projected risk-free rates increase to around 2.60%.  Similarly, current observable beta estimates are around 0.</w:t>
      </w:r>
      <w:r>
        <w:t>89</w:t>
      </w:r>
      <w:r w:rsidRPr="007114B7">
        <w:t xml:space="preserve"> but forward-looking more normalized beta estimates have consistently been about 0.7</w:t>
      </w:r>
      <w:r>
        <w:t>1</w:t>
      </w:r>
      <w:r w:rsidRPr="007114B7">
        <w:t xml:space="preserve">.  I will use </w:t>
      </w:r>
      <w:r w:rsidR="0093780B">
        <w:t>all</w:t>
      </w:r>
      <w:r w:rsidRPr="007114B7">
        <w:t xml:space="preserve"> these </w:t>
      </w:r>
      <w:proofErr w:type="spellStart"/>
      <w:r w:rsidRPr="007114B7">
        <w:t>CAPM</w:t>
      </w:r>
      <w:proofErr w:type="spellEnd"/>
      <w:r w:rsidRPr="007114B7">
        <w:t xml:space="preserve"> </w:t>
      </w:r>
      <w:r w:rsidR="0093780B">
        <w:t>data</w:t>
      </w:r>
      <w:r w:rsidRPr="007114B7">
        <w:t xml:space="preserve"> in deriving a reasonable estimate of the current market cost of equity.  </w:t>
      </w:r>
    </w:p>
    <w:p w14:paraId="142AB44E" w14:textId="4D1104B3" w:rsidR="00D54B54" w:rsidRPr="007114B7" w:rsidRDefault="00D54B54" w:rsidP="00D54B54">
      <w:pPr>
        <w:spacing w:line="480" w:lineRule="auto"/>
        <w:ind w:left="720" w:firstLine="720"/>
        <w:jc w:val="both"/>
      </w:pPr>
      <w:r w:rsidRPr="007114B7">
        <w:t xml:space="preserve">As shown on my </w:t>
      </w:r>
      <w:r w:rsidRPr="00E92E03">
        <w:t>Exhibit MPG-17</w:t>
      </w:r>
      <w:r w:rsidRPr="007114B7">
        <w:t>, using a current market risk-free rate of 1.9</w:t>
      </w:r>
      <w:r>
        <w:t>6</w:t>
      </w:r>
      <w:r w:rsidRPr="007114B7">
        <w:t>%, a projected market return of 11.50%, produces a market risk premium of 9.5</w:t>
      </w:r>
      <w:r>
        <w:t>4</w:t>
      </w:r>
      <w:r w:rsidRPr="007114B7">
        <w:t>%, combined with the current beta of 0.</w:t>
      </w:r>
      <w:r>
        <w:t>89</w:t>
      </w:r>
      <w:r w:rsidRPr="007114B7">
        <w:t xml:space="preserve"> indicat</w:t>
      </w:r>
      <w:r>
        <w:t xml:space="preserve">es a </w:t>
      </w:r>
      <w:proofErr w:type="spellStart"/>
      <w:r>
        <w:t>CAPM</w:t>
      </w:r>
      <w:proofErr w:type="spellEnd"/>
      <w:r>
        <w:t xml:space="preserve"> return estimate of 10.43</w:t>
      </w:r>
      <w:r w:rsidRPr="007114B7">
        <w:t xml:space="preserve">%. </w:t>
      </w:r>
      <w:r w:rsidR="009B1325">
        <w:t>T</w:t>
      </w:r>
      <w:r w:rsidR="0093780B">
        <w:t xml:space="preserve">his </w:t>
      </w:r>
      <w:proofErr w:type="spellStart"/>
      <w:r w:rsidR="0093780B">
        <w:t>CAPM</w:t>
      </w:r>
      <w:proofErr w:type="spellEnd"/>
      <w:r w:rsidR="0093780B">
        <w:t xml:space="preserve"> is </w:t>
      </w:r>
      <w:r w:rsidR="0093780B" w:rsidRPr="009B1325">
        <w:t xml:space="preserve">overstated </w:t>
      </w:r>
      <w:r w:rsidR="009B1325" w:rsidRPr="009B1325">
        <w:t xml:space="preserve">due </w:t>
      </w:r>
      <w:r w:rsidR="0093780B" w:rsidRPr="009B1325">
        <w:t>t</w:t>
      </w:r>
      <w:r w:rsidR="0093780B">
        <w:t xml:space="preserve">o the abnormally high </w:t>
      </w:r>
      <w:r w:rsidR="009B1325">
        <w:t>beta</w:t>
      </w:r>
      <w:r w:rsidR="0093780B">
        <w:t xml:space="preserve"> estimate.</w:t>
      </w:r>
    </w:p>
    <w:p w14:paraId="4553D034" w14:textId="77777777" w:rsidR="00D54B54" w:rsidRPr="007114B7" w:rsidRDefault="00D54B54" w:rsidP="00D54B54">
      <w:pPr>
        <w:spacing w:line="480" w:lineRule="auto"/>
        <w:ind w:left="720" w:firstLine="720"/>
        <w:jc w:val="both"/>
      </w:pPr>
      <w:r w:rsidRPr="007114B7">
        <w:t>Using a market return of 11.50%, with a projected risk-free rate of 2.60%, produces a market risk premium of 8.90%. This market risk premium and risk-free rate with a normalized utility beta of 0.7</w:t>
      </w:r>
      <w:r>
        <w:t>1</w:t>
      </w:r>
      <w:r w:rsidRPr="007114B7">
        <w:t xml:space="preserve">, indicates a </w:t>
      </w:r>
      <w:proofErr w:type="spellStart"/>
      <w:r w:rsidRPr="007114B7">
        <w:t>CAPM</w:t>
      </w:r>
      <w:proofErr w:type="spellEnd"/>
      <w:r w:rsidRPr="007114B7">
        <w:t xml:space="preserve"> return of about </w:t>
      </w:r>
      <w:r>
        <w:t>8.96</w:t>
      </w:r>
      <w:r w:rsidRPr="007114B7">
        <w:t xml:space="preserve">%.  </w:t>
      </w:r>
    </w:p>
    <w:p w14:paraId="3B6739C0" w14:textId="77777777" w:rsidR="00D54B54" w:rsidRPr="007114B7" w:rsidRDefault="00D54B54" w:rsidP="00D54B54">
      <w:pPr>
        <w:spacing w:line="480" w:lineRule="auto"/>
        <w:ind w:left="720" w:firstLine="720"/>
        <w:jc w:val="both"/>
      </w:pPr>
      <w:r w:rsidRPr="007114B7">
        <w:t xml:space="preserve">The midpoint of this </w:t>
      </w:r>
      <w:proofErr w:type="spellStart"/>
      <w:r w:rsidRPr="007114B7">
        <w:t>CAPM</w:t>
      </w:r>
      <w:proofErr w:type="spellEnd"/>
      <w:r w:rsidRPr="007114B7">
        <w:t xml:space="preserve"> return range is approximately 9.</w:t>
      </w:r>
      <w:r>
        <w:t>7</w:t>
      </w:r>
      <w:r w:rsidRPr="007114B7">
        <w:t>% (midpoint of 10.</w:t>
      </w:r>
      <w:r>
        <w:t>43</w:t>
      </w:r>
      <w:r w:rsidRPr="007114B7">
        <w:t xml:space="preserve">% and </w:t>
      </w:r>
      <w:r>
        <w:t>8.96</w:t>
      </w:r>
      <w:r w:rsidRPr="007114B7">
        <w:t xml:space="preserve">%).  </w:t>
      </w:r>
    </w:p>
    <w:p w14:paraId="021F52F2" w14:textId="77777777" w:rsidR="00D54B54" w:rsidRPr="007114B7" w:rsidRDefault="00D54B54" w:rsidP="00D54B54">
      <w:pPr>
        <w:suppressLineNumbers/>
        <w:spacing w:line="480" w:lineRule="auto"/>
        <w:ind w:left="720" w:hanging="720"/>
        <w:jc w:val="both"/>
        <w:rPr>
          <w:color w:val="000000"/>
        </w:rPr>
      </w:pPr>
      <w:bookmarkStart w:id="83" w:name="_Toc63936866"/>
      <w:bookmarkStart w:id="84" w:name="_Toc67399031"/>
      <w:bookmarkStart w:id="85" w:name="_Toc74922992"/>
      <w:bookmarkStart w:id="86" w:name="_Toc82676394"/>
    </w:p>
    <w:p w14:paraId="06BDB960" w14:textId="77777777" w:rsidR="00D54B54" w:rsidRPr="007114B7" w:rsidRDefault="00D54B54" w:rsidP="00D54B54">
      <w:pPr>
        <w:pStyle w:val="Heading2"/>
      </w:pPr>
      <w:bookmarkStart w:id="87" w:name="_Toc83990842"/>
      <w:bookmarkStart w:id="88" w:name="_Toc84318886"/>
      <w:bookmarkStart w:id="89" w:name="_Toc85028735"/>
      <w:proofErr w:type="spellStart"/>
      <w:r w:rsidRPr="008335FA">
        <w:rPr>
          <w:rFonts w:cs="Arial"/>
          <w:caps/>
        </w:rPr>
        <w:t>I</w:t>
      </w:r>
      <w:r>
        <w:rPr>
          <w:rFonts w:cs="Arial"/>
          <w:caps/>
        </w:rPr>
        <w:t>II.</w:t>
      </w:r>
      <w:r w:rsidRPr="008335FA">
        <w:rPr>
          <w:rFonts w:cs="Arial"/>
          <w:caps/>
        </w:rPr>
        <w:t>H</w:t>
      </w:r>
      <w:proofErr w:type="spellEnd"/>
      <w:r w:rsidRPr="008335FA">
        <w:rPr>
          <w:rFonts w:cs="Arial"/>
        </w:rPr>
        <w:t>.</w:t>
      </w:r>
      <w:r w:rsidRPr="007114B7">
        <w:t xml:space="preserve">  Return on Equity Summary</w:t>
      </w:r>
      <w:bookmarkEnd w:id="83"/>
      <w:bookmarkEnd w:id="84"/>
      <w:bookmarkEnd w:id="85"/>
      <w:bookmarkEnd w:id="86"/>
      <w:bookmarkEnd w:id="87"/>
      <w:bookmarkEnd w:id="88"/>
      <w:bookmarkEnd w:id="89"/>
    </w:p>
    <w:p w14:paraId="377D58D7" w14:textId="77777777" w:rsidR="00D54B54" w:rsidRPr="007114B7" w:rsidRDefault="00D54B54" w:rsidP="00D54B54">
      <w:pPr>
        <w:keepNext/>
        <w:keepLines/>
        <w:spacing w:line="480" w:lineRule="auto"/>
        <w:ind w:left="720" w:hanging="720"/>
        <w:jc w:val="both"/>
        <w:rPr>
          <w:b/>
          <w:bCs/>
          <w:caps/>
        </w:rPr>
      </w:pPr>
      <w:r w:rsidRPr="007114B7">
        <w:rPr>
          <w:b/>
          <w:bCs/>
          <w:caps/>
        </w:rPr>
        <w:t>Q</w:t>
      </w:r>
      <w:r w:rsidRPr="007114B7">
        <w:rPr>
          <w:b/>
          <w:bCs/>
          <w:caps/>
        </w:rPr>
        <w:tab/>
        <w:t xml:space="preserve">BASED ON THE RESULTS OF YOUR RETURN ON COMMON EQUITY ANALYSES DESCRIBED ABOVE, WHAT RETURN ON COMMON EQUITY DO YOU RECOMMEND FOR </w:t>
      </w:r>
      <w:proofErr w:type="spellStart"/>
      <w:r>
        <w:rPr>
          <w:rFonts w:eastAsia="Calibri"/>
          <w:b/>
          <w:bCs/>
          <w:caps/>
        </w:rPr>
        <w:t>EPE</w:t>
      </w:r>
      <w:proofErr w:type="spellEnd"/>
      <w:r w:rsidRPr="007114B7">
        <w:rPr>
          <w:b/>
          <w:bCs/>
          <w:caps/>
        </w:rPr>
        <w:t>?</w:t>
      </w:r>
    </w:p>
    <w:p w14:paraId="5EC60D15" w14:textId="77777777" w:rsidR="00D54B54" w:rsidRPr="007114B7" w:rsidRDefault="00D54B54" w:rsidP="00D54B54">
      <w:pPr>
        <w:spacing w:line="480" w:lineRule="auto"/>
        <w:ind w:left="720" w:hanging="720"/>
        <w:jc w:val="both"/>
      </w:pPr>
      <w:r w:rsidRPr="007114B7">
        <w:t>A</w:t>
      </w:r>
      <w:r w:rsidRPr="007114B7">
        <w:tab/>
        <w:t xml:space="preserve">Based on my analyses, I recommend </w:t>
      </w:r>
      <w:proofErr w:type="spellStart"/>
      <w:r>
        <w:rPr>
          <w:rFonts w:eastAsia="Calibri"/>
        </w:rPr>
        <w:t>EPE</w:t>
      </w:r>
      <w:r>
        <w:t>’</w:t>
      </w:r>
      <w:r w:rsidRPr="007114B7">
        <w:t>s</w:t>
      </w:r>
      <w:proofErr w:type="spellEnd"/>
      <w:r w:rsidRPr="007114B7">
        <w:t xml:space="preserve"> current market cost </w:t>
      </w:r>
      <w:r>
        <w:t xml:space="preserve">of equity be in the range of 9.00% </w:t>
      </w:r>
      <w:r w:rsidRPr="00CE5AD4">
        <w:t>to 9.40%, with a point estimate of 9.20%.</w:t>
      </w:r>
      <w:r w:rsidRPr="007114B7">
        <w:t xml:space="preserve"> </w:t>
      </w: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520"/>
        <w:gridCol w:w="2070"/>
      </w:tblGrid>
      <w:tr w:rsidR="00D54B54" w:rsidRPr="007114B7" w14:paraId="42239D76" w14:textId="77777777" w:rsidTr="006435B1">
        <w:trPr>
          <w:trHeight w:val="516"/>
          <w:jc w:val="center"/>
        </w:trPr>
        <w:tc>
          <w:tcPr>
            <w:tcW w:w="4590" w:type="dxa"/>
            <w:gridSpan w:val="2"/>
          </w:tcPr>
          <w:p w14:paraId="6EF0B924" w14:textId="77777777" w:rsidR="00D54B54" w:rsidRPr="007114B7" w:rsidRDefault="00D54B54" w:rsidP="006435B1">
            <w:pPr>
              <w:pageBreakBefore/>
              <w:ind w:left="720" w:hanging="720"/>
              <w:rPr>
                <w:b/>
                <w:bCs/>
              </w:rPr>
            </w:pPr>
          </w:p>
          <w:p w14:paraId="23FB841B" w14:textId="77777777" w:rsidR="00D54B54" w:rsidRPr="007114B7" w:rsidRDefault="00D54B54" w:rsidP="006435B1">
            <w:pPr>
              <w:ind w:left="720" w:hanging="468"/>
              <w:jc w:val="center"/>
              <w:rPr>
                <w:b/>
                <w:bCs/>
              </w:rPr>
            </w:pPr>
            <w:r w:rsidRPr="007114B7">
              <w:rPr>
                <w:b/>
                <w:bCs/>
              </w:rPr>
              <w:t xml:space="preserve">TABLE </w:t>
            </w:r>
            <w:r>
              <w:rPr>
                <w:b/>
                <w:bCs/>
              </w:rPr>
              <w:t>7</w:t>
            </w:r>
          </w:p>
          <w:p w14:paraId="0307B430" w14:textId="77777777" w:rsidR="00D54B54" w:rsidRPr="007114B7" w:rsidRDefault="00D54B54" w:rsidP="006435B1">
            <w:pPr>
              <w:ind w:left="720" w:hanging="468"/>
            </w:pPr>
          </w:p>
          <w:p w14:paraId="599847A3" w14:textId="77777777" w:rsidR="00D54B54" w:rsidRPr="007114B7" w:rsidRDefault="00D54B54" w:rsidP="006435B1">
            <w:pPr>
              <w:ind w:left="720" w:hanging="468"/>
              <w:rPr>
                <w:b/>
                <w:u w:val="single"/>
              </w:rPr>
            </w:pPr>
            <w:r w:rsidRPr="007114B7">
              <w:rPr>
                <w:b/>
                <w:u w:val="single"/>
              </w:rPr>
              <w:t>Return on Common Equity Summary</w:t>
            </w:r>
          </w:p>
          <w:p w14:paraId="42012CE1" w14:textId="77777777" w:rsidR="00D54B54" w:rsidRPr="007114B7" w:rsidRDefault="00D54B54" w:rsidP="006435B1">
            <w:pPr>
              <w:ind w:left="720" w:hanging="468"/>
              <w:rPr>
                <w:b/>
              </w:rPr>
            </w:pPr>
          </w:p>
        </w:tc>
      </w:tr>
      <w:tr w:rsidR="00D54B54" w:rsidRPr="007114B7" w14:paraId="43A90A8D" w14:textId="77777777" w:rsidTr="006435B1">
        <w:trPr>
          <w:trHeight w:val="305"/>
          <w:jc w:val="center"/>
        </w:trPr>
        <w:tc>
          <w:tcPr>
            <w:tcW w:w="2520" w:type="dxa"/>
          </w:tcPr>
          <w:p w14:paraId="6B5C9D05" w14:textId="77777777" w:rsidR="00D54B54" w:rsidRPr="007114B7" w:rsidRDefault="00D54B54" w:rsidP="006435B1">
            <w:pPr>
              <w:spacing w:line="480" w:lineRule="auto"/>
              <w:ind w:left="720" w:hanging="468"/>
              <w:rPr>
                <w:b/>
                <w:u w:val="single"/>
              </w:rPr>
            </w:pPr>
            <w:r w:rsidRPr="007114B7">
              <w:rPr>
                <w:b/>
                <w:u w:val="single"/>
              </w:rPr>
              <w:t>  Description </w:t>
            </w:r>
          </w:p>
        </w:tc>
        <w:tc>
          <w:tcPr>
            <w:tcW w:w="2070" w:type="dxa"/>
          </w:tcPr>
          <w:p w14:paraId="5B00AAE5" w14:textId="77777777" w:rsidR="00D54B54" w:rsidRPr="007114B7" w:rsidRDefault="00D54B54" w:rsidP="006435B1">
            <w:pPr>
              <w:spacing w:line="480" w:lineRule="auto"/>
              <w:ind w:left="720" w:hanging="720"/>
              <w:jc w:val="center"/>
              <w:rPr>
                <w:b/>
                <w:u w:val="single"/>
              </w:rPr>
            </w:pPr>
            <w:r w:rsidRPr="007114B7">
              <w:rPr>
                <w:b/>
                <w:u w:val="single"/>
              </w:rPr>
              <w:t>Results</w:t>
            </w:r>
          </w:p>
        </w:tc>
      </w:tr>
      <w:tr w:rsidR="00D54B54" w:rsidRPr="007114B7" w14:paraId="72B38CA5" w14:textId="77777777" w:rsidTr="006435B1">
        <w:trPr>
          <w:trHeight w:val="258"/>
          <w:jc w:val="center"/>
        </w:trPr>
        <w:tc>
          <w:tcPr>
            <w:tcW w:w="2520" w:type="dxa"/>
          </w:tcPr>
          <w:p w14:paraId="4706AAA0" w14:textId="77777777" w:rsidR="00D54B54" w:rsidRPr="007114B7" w:rsidRDefault="00D54B54" w:rsidP="006435B1">
            <w:pPr>
              <w:spacing w:line="480" w:lineRule="auto"/>
              <w:ind w:left="720" w:hanging="468"/>
            </w:pPr>
            <w:r w:rsidRPr="007114B7">
              <w:t>DCF</w:t>
            </w:r>
          </w:p>
        </w:tc>
        <w:tc>
          <w:tcPr>
            <w:tcW w:w="2070" w:type="dxa"/>
          </w:tcPr>
          <w:p w14:paraId="65CC8913" w14:textId="77777777" w:rsidR="00D54B54" w:rsidRPr="007114B7" w:rsidRDefault="00D54B54" w:rsidP="006435B1">
            <w:pPr>
              <w:spacing w:line="480" w:lineRule="auto"/>
              <w:jc w:val="center"/>
            </w:pPr>
            <w:r>
              <w:rPr>
                <w:bCs/>
              </w:rPr>
              <w:t>9.0</w:t>
            </w:r>
            <w:r w:rsidRPr="007114B7">
              <w:rPr>
                <w:bCs/>
              </w:rPr>
              <w:t>0</w:t>
            </w:r>
            <w:r w:rsidRPr="007114B7">
              <w:t>%</w:t>
            </w:r>
          </w:p>
        </w:tc>
      </w:tr>
      <w:tr w:rsidR="00D54B54" w:rsidRPr="007114B7" w14:paraId="7B034AD3" w14:textId="77777777" w:rsidTr="006435B1">
        <w:trPr>
          <w:trHeight w:val="258"/>
          <w:jc w:val="center"/>
        </w:trPr>
        <w:tc>
          <w:tcPr>
            <w:tcW w:w="2520" w:type="dxa"/>
          </w:tcPr>
          <w:p w14:paraId="6D27819C" w14:textId="77777777" w:rsidR="00D54B54" w:rsidRPr="007114B7" w:rsidRDefault="00D54B54" w:rsidP="006435B1">
            <w:pPr>
              <w:spacing w:line="480" w:lineRule="auto"/>
              <w:ind w:left="720" w:hanging="468"/>
            </w:pPr>
            <w:r w:rsidRPr="007114B7">
              <w:t>Risk Premium</w:t>
            </w:r>
          </w:p>
        </w:tc>
        <w:tc>
          <w:tcPr>
            <w:tcW w:w="2070" w:type="dxa"/>
          </w:tcPr>
          <w:p w14:paraId="1FA43EA0" w14:textId="77777777" w:rsidR="00D54B54" w:rsidRPr="007114B7" w:rsidRDefault="00D54B54" w:rsidP="006435B1">
            <w:pPr>
              <w:spacing w:line="480" w:lineRule="auto"/>
              <w:jc w:val="center"/>
            </w:pPr>
            <w:r>
              <w:rPr>
                <w:bCs/>
              </w:rPr>
              <w:t>9.00</w:t>
            </w:r>
            <w:r w:rsidRPr="007114B7">
              <w:rPr>
                <w:bCs/>
              </w:rPr>
              <w:t>%</w:t>
            </w:r>
          </w:p>
        </w:tc>
      </w:tr>
      <w:tr w:rsidR="00D54B54" w:rsidRPr="007114B7" w14:paraId="71B8D7A5" w14:textId="77777777" w:rsidTr="006435B1">
        <w:trPr>
          <w:trHeight w:val="258"/>
          <w:jc w:val="center"/>
        </w:trPr>
        <w:tc>
          <w:tcPr>
            <w:tcW w:w="2520" w:type="dxa"/>
          </w:tcPr>
          <w:p w14:paraId="485A8487" w14:textId="77777777" w:rsidR="00D54B54" w:rsidRPr="007114B7" w:rsidRDefault="00D54B54" w:rsidP="006435B1">
            <w:pPr>
              <w:ind w:left="720" w:hanging="468"/>
            </w:pPr>
            <w:proofErr w:type="spellStart"/>
            <w:r w:rsidRPr="007114B7">
              <w:t>CAPM</w:t>
            </w:r>
            <w:proofErr w:type="spellEnd"/>
          </w:p>
          <w:p w14:paraId="539AFCE5" w14:textId="77777777" w:rsidR="00D54B54" w:rsidRPr="007114B7" w:rsidRDefault="00D54B54" w:rsidP="006435B1">
            <w:pPr>
              <w:ind w:left="720" w:hanging="468"/>
            </w:pPr>
          </w:p>
        </w:tc>
        <w:tc>
          <w:tcPr>
            <w:tcW w:w="2070" w:type="dxa"/>
          </w:tcPr>
          <w:p w14:paraId="7BE4AC76" w14:textId="77777777" w:rsidR="00D54B54" w:rsidRPr="007114B7" w:rsidRDefault="00D54B54" w:rsidP="006435B1">
            <w:pPr>
              <w:jc w:val="center"/>
            </w:pPr>
            <w:r>
              <w:rPr>
                <w:bCs/>
              </w:rPr>
              <w:t>9.7</w:t>
            </w:r>
            <w:r w:rsidRPr="007114B7">
              <w:rPr>
                <w:bCs/>
              </w:rPr>
              <w:t>0</w:t>
            </w:r>
            <w:r w:rsidRPr="007114B7">
              <w:t>%</w:t>
            </w:r>
          </w:p>
          <w:p w14:paraId="0EB931D1" w14:textId="77777777" w:rsidR="00D54B54" w:rsidRPr="007114B7" w:rsidRDefault="00D54B54" w:rsidP="006435B1">
            <w:pPr>
              <w:jc w:val="center"/>
            </w:pPr>
          </w:p>
        </w:tc>
      </w:tr>
    </w:tbl>
    <w:p w14:paraId="5B35C209" w14:textId="77777777" w:rsidR="00D54B54" w:rsidRPr="007114B7" w:rsidRDefault="00D54B54" w:rsidP="00D54B54">
      <w:pPr>
        <w:suppressLineNumbers/>
        <w:ind w:left="720" w:hanging="720"/>
        <w:jc w:val="both"/>
      </w:pPr>
    </w:p>
    <w:p w14:paraId="3861BF18" w14:textId="77777777" w:rsidR="00D54B54" w:rsidRPr="007114B7" w:rsidRDefault="00D54B54" w:rsidP="00D54B54">
      <w:pPr>
        <w:spacing w:line="480" w:lineRule="auto"/>
        <w:ind w:left="720" w:hanging="720"/>
        <w:jc w:val="both"/>
      </w:pPr>
      <w:r w:rsidRPr="007114B7">
        <w:tab/>
      </w:r>
      <w:r w:rsidRPr="007114B7">
        <w:tab/>
        <w:t>My recommended return on common equity of 9.</w:t>
      </w:r>
      <w:r>
        <w:t>20</w:t>
      </w:r>
      <w:r w:rsidRPr="007114B7">
        <w:t>% falls at the midpo</w:t>
      </w:r>
      <w:r>
        <w:t>int of the range of 9.00% to 9.4</w:t>
      </w:r>
      <w:r w:rsidRPr="007114B7">
        <w:t xml:space="preserve">0%.  The low-end of my range is based on my DCF </w:t>
      </w:r>
      <w:r>
        <w:t xml:space="preserve">and Risk Premium analyses, and the high-end is based on the approximate average of my risk premium and </w:t>
      </w:r>
      <w:proofErr w:type="spellStart"/>
      <w:r>
        <w:t>CAPM</w:t>
      </w:r>
      <w:proofErr w:type="spellEnd"/>
      <w:r>
        <w:t xml:space="preserve"> returns.</w:t>
      </w:r>
    </w:p>
    <w:p w14:paraId="18ECBDCF" w14:textId="77777777" w:rsidR="00D54B54" w:rsidRPr="007114B7" w:rsidRDefault="00D54B54" w:rsidP="00D54B54">
      <w:pPr>
        <w:spacing w:line="480" w:lineRule="auto"/>
        <w:ind w:left="720" w:firstLine="720"/>
        <w:jc w:val="both"/>
      </w:pPr>
      <w:r w:rsidRPr="007114B7">
        <w:t>My return on equity estimates reflect observable market evidence, the impact of Federal Reserve policies on current and expected long-term capital market costs, an assessment of the current risk premium built into current market securities, and a general assessment of the current investment risk characteristics of the electric utility industry and the market</w:t>
      </w:r>
      <w:r>
        <w:t>’</w:t>
      </w:r>
      <w:r w:rsidRPr="007114B7">
        <w:t>s demand for utility securities.</w:t>
      </w:r>
    </w:p>
    <w:p w14:paraId="4D3A699E" w14:textId="77777777" w:rsidR="00D54B54" w:rsidRPr="002C207B" w:rsidRDefault="00D54B54" w:rsidP="00D54B54">
      <w:pPr>
        <w:keepNext/>
        <w:keepLines/>
        <w:suppressLineNumbers/>
        <w:spacing w:line="480" w:lineRule="auto"/>
        <w:ind w:left="720" w:hanging="720"/>
        <w:jc w:val="both"/>
        <w:rPr>
          <w:rFonts w:cs="Arial"/>
          <w:caps/>
          <w:szCs w:val="22"/>
        </w:rPr>
      </w:pPr>
    </w:p>
    <w:p w14:paraId="54F2ADCF" w14:textId="77777777" w:rsidR="00D54B54" w:rsidRPr="002C207B" w:rsidRDefault="00D54B54" w:rsidP="00D54B54">
      <w:pPr>
        <w:pStyle w:val="Heading1"/>
        <w:rPr>
          <w:rFonts w:cs="Arial"/>
          <w:szCs w:val="22"/>
        </w:rPr>
      </w:pPr>
      <w:bookmarkStart w:id="90" w:name="_Toc63936867"/>
      <w:bookmarkStart w:id="91" w:name="_Toc85028736"/>
      <w:r>
        <w:t>IV</w:t>
      </w:r>
      <w:r w:rsidRPr="00E30A82">
        <w:t xml:space="preserve">.  </w:t>
      </w:r>
      <w:r w:rsidRPr="00D56FD1">
        <w:t>FINANCIAL INTEGRITY</w:t>
      </w:r>
      <w:bookmarkEnd w:id="90"/>
      <w:bookmarkEnd w:id="91"/>
    </w:p>
    <w:p w14:paraId="5FFBEF6D" w14:textId="77777777" w:rsidR="00685365" w:rsidRPr="002C207B" w:rsidRDefault="00685365" w:rsidP="00685365">
      <w:pPr>
        <w:keepNext/>
        <w:keepLines/>
        <w:spacing w:line="480" w:lineRule="auto"/>
        <w:ind w:left="720" w:hanging="720"/>
        <w:jc w:val="both"/>
        <w:rPr>
          <w:rFonts w:cs="Arial"/>
          <w:b/>
          <w:caps/>
          <w:szCs w:val="22"/>
        </w:rPr>
      </w:pPr>
      <w:r w:rsidRPr="002C207B">
        <w:rPr>
          <w:rFonts w:cs="Arial"/>
          <w:b/>
          <w:caps/>
          <w:szCs w:val="22"/>
        </w:rPr>
        <w:t>Q</w:t>
      </w:r>
      <w:r w:rsidRPr="002C207B">
        <w:rPr>
          <w:rFonts w:cs="Arial"/>
          <w:b/>
          <w:caps/>
          <w:szCs w:val="22"/>
        </w:rPr>
        <w:tab/>
        <w:t xml:space="preserve">Will your recommended overall rate of return support an investment grade bond rating for </w:t>
      </w:r>
      <w:proofErr w:type="spellStart"/>
      <w:r>
        <w:rPr>
          <w:rFonts w:cs="Arial"/>
          <w:b/>
          <w:caps/>
          <w:szCs w:val="22"/>
        </w:rPr>
        <w:t>EPE</w:t>
      </w:r>
      <w:proofErr w:type="spellEnd"/>
      <w:r w:rsidRPr="002C207B">
        <w:rPr>
          <w:rFonts w:cs="Arial"/>
          <w:b/>
          <w:caps/>
          <w:szCs w:val="22"/>
        </w:rPr>
        <w:t>?</w:t>
      </w:r>
    </w:p>
    <w:p w14:paraId="5F1D0548" w14:textId="355CA0B5" w:rsidR="00685365" w:rsidRPr="002C207B" w:rsidRDefault="00685365" w:rsidP="00685365">
      <w:pPr>
        <w:spacing w:line="480" w:lineRule="auto"/>
        <w:ind w:left="720" w:hanging="720"/>
        <w:jc w:val="both"/>
        <w:rPr>
          <w:rFonts w:cs="Arial"/>
          <w:szCs w:val="22"/>
        </w:rPr>
      </w:pPr>
      <w:r w:rsidRPr="002C207B">
        <w:rPr>
          <w:rFonts w:cs="Arial"/>
          <w:szCs w:val="22"/>
        </w:rPr>
        <w:t>A</w:t>
      </w:r>
      <w:r w:rsidRPr="002C207B">
        <w:rPr>
          <w:rFonts w:cs="Arial"/>
          <w:szCs w:val="22"/>
        </w:rPr>
        <w:tab/>
        <w:t xml:space="preserve">Yes.  I have reached this conclusion by comparing the key credit rating financial ratios for </w:t>
      </w:r>
      <w:proofErr w:type="spellStart"/>
      <w:r>
        <w:rPr>
          <w:rFonts w:cs="Arial"/>
          <w:szCs w:val="22"/>
        </w:rPr>
        <w:t>EPE</w:t>
      </w:r>
      <w:proofErr w:type="spellEnd"/>
      <w:r w:rsidRPr="002C207B">
        <w:rPr>
          <w:rFonts w:cs="Arial"/>
          <w:szCs w:val="22"/>
        </w:rPr>
        <w:t xml:space="preserve"> </w:t>
      </w:r>
      <w:r w:rsidR="008C4BD5">
        <w:rPr>
          <w:rFonts w:cs="Arial"/>
          <w:szCs w:val="22"/>
        </w:rPr>
        <w:t>at my proposed return on equity and</w:t>
      </w:r>
      <w:r w:rsidRPr="002C207B">
        <w:rPr>
          <w:rFonts w:cs="Arial"/>
          <w:szCs w:val="22"/>
        </w:rPr>
        <w:t xml:space="preserve"> embedded debt cost, and </w:t>
      </w:r>
      <w:r w:rsidR="008C4BD5">
        <w:rPr>
          <w:rFonts w:cs="Arial"/>
          <w:szCs w:val="22"/>
        </w:rPr>
        <w:t>the Company’s proposed</w:t>
      </w:r>
      <w:r w:rsidRPr="002C207B">
        <w:rPr>
          <w:rFonts w:cs="Arial"/>
          <w:szCs w:val="22"/>
        </w:rPr>
        <w:t xml:space="preserve"> capital structure to S&amp;P</w:t>
      </w:r>
      <w:r>
        <w:rPr>
          <w:rFonts w:cs="Arial"/>
          <w:szCs w:val="22"/>
        </w:rPr>
        <w:t>’</w:t>
      </w:r>
      <w:r w:rsidRPr="002C207B">
        <w:rPr>
          <w:rFonts w:cs="Arial"/>
          <w:szCs w:val="22"/>
        </w:rPr>
        <w:t>s benchmark financial ratios using S&amp;P</w:t>
      </w:r>
      <w:r>
        <w:rPr>
          <w:rFonts w:cs="Arial"/>
          <w:szCs w:val="22"/>
        </w:rPr>
        <w:t>’</w:t>
      </w:r>
      <w:r w:rsidRPr="002C207B">
        <w:rPr>
          <w:rFonts w:cs="Arial"/>
          <w:szCs w:val="22"/>
        </w:rPr>
        <w:t>s new credit metric ranges.</w:t>
      </w:r>
    </w:p>
    <w:p w14:paraId="4E6BDEA8" w14:textId="77777777" w:rsidR="00685365" w:rsidRPr="002C207B" w:rsidRDefault="00685365" w:rsidP="00685365">
      <w:pPr>
        <w:keepNext/>
        <w:keepLines/>
        <w:spacing w:line="480" w:lineRule="auto"/>
        <w:ind w:left="720" w:hanging="720"/>
        <w:jc w:val="both"/>
        <w:rPr>
          <w:rFonts w:cs="Arial"/>
          <w:b/>
          <w:caps/>
          <w:szCs w:val="22"/>
        </w:rPr>
      </w:pPr>
      <w:r w:rsidRPr="002C207B">
        <w:rPr>
          <w:rFonts w:cs="Arial"/>
          <w:b/>
          <w:caps/>
          <w:szCs w:val="22"/>
        </w:rPr>
        <w:lastRenderedPageBreak/>
        <w:t>Q</w:t>
      </w:r>
      <w:r w:rsidRPr="002C207B">
        <w:rPr>
          <w:rFonts w:cs="Arial"/>
          <w:b/>
          <w:caps/>
          <w:szCs w:val="22"/>
        </w:rPr>
        <w:tab/>
        <w:t>Please describe the S&amp;P financial ratio credit metric methodology.</w:t>
      </w:r>
    </w:p>
    <w:p w14:paraId="1B49AF92" w14:textId="77777777" w:rsidR="00685365" w:rsidRPr="002C207B" w:rsidRDefault="00685365" w:rsidP="00685365">
      <w:pPr>
        <w:spacing w:line="480" w:lineRule="auto"/>
        <w:ind w:left="720" w:hanging="720"/>
        <w:jc w:val="both"/>
        <w:rPr>
          <w:rFonts w:cs="Arial"/>
          <w:szCs w:val="22"/>
        </w:rPr>
      </w:pPr>
      <w:r w:rsidRPr="002C207B">
        <w:rPr>
          <w:rFonts w:cs="Arial"/>
          <w:szCs w:val="22"/>
        </w:rPr>
        <w:t>A</w:t>
      </w:r>
      <w:r w:rsidRPr="002C207B">
        <w:rPr>
          <w:rFonts w:cs="Arial"/>
          <w:szCs w:val="22"/>
        </w:rPr>
        <w:tab/>
        <w:t>S&amp;P publishes a matrix of financial ratios corresponding to its assessment of the business risk of utility companies and related bond ratings.  On May 27, 2009, S&amp;P expanded its matrix criteria by including additional business and financial risk categories.</w:t>
      </w:r>
      <w:r>
        <w:rPr>
          <w:rFonts w:cs="Arial"/>
          <w:szCs w:val="22"/>
          <w:vertAlign w:val="superscript"/>
        </w:rPr>
        <w:footnoteReference w:id="39"/>
      </w:r>
      <w:r w:rsidRPr="002C207B">
        <w:rPr>
          <w:rFonts w:cs="Arial"/>
          <w:szCs w:val="22"/>
          <w:vertAlign w:val="superscript"/>
        </w:rPr>
        <w:t xml:space="preserve"> </w:t>
      </w:r>
      <w:r w:rsidRPr="002C207B">
        <w:rPr>
          <w:rFonts w:cs="Arial"/>
          <w:szCs w:val="22"/>
        </w:rPr>
        <w:t xml:space="preserve"> </w:t>
      </w:r>
    </w:p>
    <w:p w14:paraId="74E13406" w14:textId="77777777" w:rsidR="00685365" w:rsidRPr="002C207B" w:rsidRDefault="00685365" w:rsidP="00685365">
      <w:pPr>
        <w:spacing w:line="480" w:lineRule="auto"/>
        <w:ind w:left="720" w:firstLine="720"/>
        <w:jc w:val="both"/>
        <w:rPr>
          <w:rFonts w:cs="Arial"/>
          <w:szCs w:val="22"/>
        </w:rPr>
      </w:pPr>
      <w:r w:rsidRPr="002C207B">
        <w:rPr>
          <w:rFonts w:cs="Arial"/>
          <w:szCs w:val="22"/>
        </w:rPr>
        <w:t>Based on S&amp;P</w:t>
      </w:r>
      <w:r>
        <w:rPr>
          <w:rFonts w:cs="Arial"/>
          <w:szCs w:val="22"/>
        </w:rPr>
        <w:t>’</w:t>
      </w:r>
      <w:r w:rsidRPr="002C207B">
        <w:rPr>
          <w:rFonts w:cs="Arial"/>
          <w:szCs w:val="22"/>
        </w:rPr>
        <w:t xml:space="preserve">s most recent credit matrix, the business risk profile categories are </w:t>
      </w:r>
      <w:r>
        <w:rPr>
          <w:rFonts w:cs="Arial"/>
          <w:szCs w:val="22"/>
        </w:rPr>
        <w:t>“</w:t>
      </w:r>
      <w:r w:rsidRPr="002C207B">
        <w:rPr>
          <w:rFonts w:cs="Arial"/>
          <w:szCs w:val="22"/>
        </w:rPr>
        <w:t>Excellent,</w:t>
      </w:r>
      <w:r>
        <w:rPr>
          <w:rFonts w:cs="Arial"/>
          <w:szCs w:val="22"/>
        </w:rPr>
        <w:t>”</w:t>
      </w:r>
      <w:r w:rsidRPr="002C207B">
        <w:rPr>
          <w:rFonts w:cs="Arial"/>
          <w:szCs w:val="22"/>
        </w:rPr>
        <w:t xml:space="preserve"> </w:t>
      </w:r>
      <w:r>
        <w:rPr>
          <w:rFonts w:cs="Arial"/>
          <w:szCs w:val="22"/>
        </w:rPr>
        <w:t>“</w:t>
      </w:r>
      <w:r w:rsidRPr="002C207B">
        <w:rPr>
          <w:rFonts w:cs="Arial"/>
          <w:szCs w:val="22"/>
        </w:rPr>
        <w:t>Strong,</w:t>
      </w:r>
      <w:r>
        <w:rPr>
          <w:rFonts w:cs="Arial"/>
          <w:szCs w:val="22"/>
        </w:rPr>
        <w:t>”</w:t>
      </w:r>
      <w:r w:rsidRPr="002C207B">
        <w:rPr>
          <w:rFonts w:cs="Arial"/>
          <w:szCs w:val="22"/>
        </w:rPr>
        <w:t xml:space="preserve"> </w:t>
      </w:r>
      <w:r>
        <w:rPr>
          <w:rFonts w:cs="Arial"/>
          <w:szCs w:val="22"/>
        </w:rPr>
        <w:t>“</w:t>
      </w:r>
      <w:r w:rsidRPr="002C207B">
        <w:rPr>
          <w:rFonts w:cs="Arial"/>
          <w:szCs w:val="22"/>
        </w:rPr>
        <w:t>Satisfactory,</w:t>
      </w:r>
      <w:r>
        <w:rPr>
          <w:rFonts w:cs="Arial"/>
          <w:szCs w:val="22"/>
        </w:rPr>
        <w:t>”</w:t>
      </w:r>
      <w:r w:rsidRPr="002C207B">
        <w:rPr>
          <w:rFonts w:cs="Arial"/>
          <w:szCs w:val="22"/>
        </w:rPr>
        <w:t xml:space="preserve"> </w:t>
      </w:r>
      <w:r>
        <w:rPr>
          <w:rFonts w:cs="Arial"/>
          <w:szCs w:val="22"/>
        </w:rPr>
        <w:t>“</w:t>
      </w:r>
      <w:r w:rsidRPr="002C207B">
        <w:rPr>
          <w:rFonts w:cs="Arial"/>
          <w:szCs w:val="22"/>
        </w:rPr>
        <w:t>Fair,</w:t>
      </w:r>
      <w:r>
        <w:rPr>
          <w:rFonts w:cs="Arial"/>
          <w:szCs w:val="22"/>
        </w:rPr>
        <w:t>”</w:t>
      </w:r>
      <w:r w:rsidRPr="002C207B">
        <w:rPr>
          <w:rFonts w:cs="Arial"/>
          <w:szCs w:val="22"/>
        </w:rPr>
        <w:t xml:space="preserve"> </w:t>
      </w:r>
      <w:r>
        <w:rPr>
          <w:rFonts w:cs="Arial"/>
          <w:szCs w:val="22"/>
        </w:rPr>
        <w:t>“</w:t>
      </w:r>
      <w:r w:rsidRPr="002C207B">
        <w:rPr>
          <w:rFonts w:cs="Arial"/>
          <w:szCs w:val="22"/>
        </w:rPr>
        <w:t>Weak,</w:t>
      </w:r>
      <w:r>
        <w:rPr>
          <w:rFonts w:cs="Arial"/>
          <w:szCs w:val="22"/>
        </w:rPr>
        <w:t>”</w:t>
      </w:r>
      <w:r w:rsidRPr="002C207B">
        <w:rPr>
          <w:rFonts w:cs="Arial"/>
          <w:szCs w:val="22"/>
        </w:rPr>
        <w:t xml:space="preserve"> and </w:t>
      </w:r>
      <w:r>
        <w:rPr>
          <w:rFonts w:cs="Arial"/>
          <w:szCs w:val="22"/>
        </w:rPr>
        <w:t>“</w:t>
      </w:r>
      <w:r w:rsidRPr="002C207B">
        <w:rPr>
          <w:rFonts w:cs="Arial"/>
          <w:szCs w:val="22"/>
        </w:rPr>
        <w:t>Vulnerable.</w:t>
      </w:r>
      <w:r>
        <w:rPr>
          <w:rFonts w:cs="Arial"/>
          <w:szCs w:val="22"/>
        </w:rPr>
        <w:t>”</w:t>
      </w:r>
      <w:r w:rsidRPr="002C207B">
        <w:rPr>
          <w:rFonts w:cs="Arial"/>
          <w:szCs w:val="22"/>
        </w:rPr>
        <w:t xml:space="preserve">  Most utilities have a business risk profile of </w:t>
      </w:r>
      <w:r>
        <w:rPr>
          <w:rFonts w:cs="Arial"/>
          <w:szCs w:val="22"/>
        </w:rPr>
        <w:t>“</w:t>
      </w:r>
      <w:r w:rsidRPr="002C207B">
        <w:rPr>
          <w:rFonts w:cs="Arial"/>
          <w:szCs w:val="22"/>
        </w:rPr>
        <w:t>Excellent</w:t>
      </w:r>
      <w:r>
        <w:rPr>
          <w:rFonts w:cs="Arial"/>
          <w:szCs w:val="22"/>
        </w:rPr>
        <w:t>”</w:t>
      </w:r>
      <w:r w:rsidRPr="002C207B">
        <w:rPr>
          <w:rFonts w:cs="Arial"/>
          <w:szCs w:val="22"/>
        </w:rPr>
        <w:t xml:space="preserve"> or </w:t>
      </w:r>
      <w:r>
        <w:rPr>
          <w:rFonts w:cs="Arial"/>
          <w:szCs w:val="22"/>
        </w:rPr>
        <w:t>“</w:t>
      </w:r>
      <w:r w:rsidRPr="002C207B">
        <w:rPr>
          <w:rFonts w:cs="Arial"/>
          <w:szCs w:val="22"/>
        </w:rPr>
        <w:t>Strong.</w:t>
      </w:r>
      <w:r>
        <w:rPr>
          <w:rFonts w:cs="Arial"/>
          <w:szCs w:val="22"/>
        </w:rPr>
        <w:t>”</w:t>
      </w:r>
      <w:r w:rsidRPr="002C207B">
        <w:rPr>
          <w:rFonts w:cs="Arial"/>
          <w:szCs w:val="22"/>
        </w:rPr>
        <w:t xml:space="preserve">  </w:t>
      </w:r>
    </w:p>
    <w:p w14:paraId="7E95CF06" w14:textId="77777777" w:rsidR="00685365" w:rsidRDefault="00685365" w:rsidP="00685365">
      <w:pPr>
        <w:spacing w:line="480" w:lineRule="auto"/>
        <w:ind w:left="720" w:right="-14" w:firstLine="720"/>
        <w:jc w:val="both"/>
        <w:rPr>
          <w:rFonts w:cs="Arial"/>
          <w:szCs w:val="22"/>
        </w:rPr>
      </w:pPr>
      <w:r w:rsidRPr="002C207B">
        <w:rPr>
          <w:rFonts w:cs="Arial"/>
          <w:szCs w:val="22"/>
        </w:rPr>
        <w:t xml:space="preserve">The financial risk profile categories are </w:t>
      </w:r>
      <w:r>
        <w:rPr>
          <w:rFonts w:cs="Arial"/>
          <w:szCs w:val="22"/>
        </w:rPr>
        <w:t>“</w:t>
      </w:r>
      <w:r w:rsidRPr="002C207B">
        <w:rPr>
          <w:rFonts w:cs="Arial"/>
          <w:szCs w:val="22"/>
        </w:rPr>
        <w:t>Minimal,</w:t>
      </w:r>
      <w:r>
        <w:rPr>
          <w:rFonts w:cs="Arial"/>
          <w:szCs w:val="22"/>
        </w:rPr>
        <w:t>”</w:t>
      </w:r>
      <w:r w:rsidRPr="002C207B">
        <w:rPr>
          <w:rFonts w:cs="Arial"/>
          <w:szCs w:val="22"/>
        </w:rPr>
        <w:t xml:space="preserve"> </w:t>
      </w:r>
      <w:r>
        <w:rPr>
          <w:rFonts w:cs="Arial"/>
          <w:szCs w:val="22"/>
        </w:rPr>
        <w:t>“</w:t>
      </w:r>
      <w:r w:rsidRPr="002C207B">
        <w:rPr>
          <w:rFonts w:cs="Arial"/>
          <w:szCs w:val="22"/>
        </w:rPr>
        <w:t>Modest,</w:t>
      </w:r>
      <w:r>
        <w:rPr>
          <w:rFonts w:cs="Arial"/>
          <w:szCs w:val="22"/>
        </w:rPr>
        <w:t>”</w:t>
      </w:r>
      <w:r w:rsidRPr="002C207B">
        <w:rPr>
          <w:rFonts w:cs="Arial"/>
          <w:szCs w:val="22"/>
        </w:rPr>
        <w:t xml:space="preserve"> </w:t>
      </w:r>
      <w:r>
        <w:rPr>
          <w:rFonts w:cs="Arial"/>
          <w:szCs w:val="22"/>
        </w:rPr>
        <w:t>“</w:t>
      </w:r>
      <w:r w:rsidRPr="002C207B">
        <w:rPr>
          <w:rFonts w:cs="Arial"/>
          <w:szCs w:val="22"/>
        </w:rPr>
        <w:t>Intermediate,</w:t>
      </w:r>
      <w:r>
        <w:rPr>
          <w:rFonts w:cs="Arial"/>
          <w:szCs w:val="22"/>
        </w:rPr>
        <w:t>”</w:t>
      </w:r>
      <w:r w:rsidRPr="002C207B">
        <w:rPr>
          <w:rFonts w:cs="Arial"/>
          <w:szCs w:val="22"/>
        </w:rPr>
        <w:t xml:space="preserve"> </w:t>
      </w:r>
      <w:r>
        <w:rPr>
          <w:rFonts w:cs="Arial"/>
          <w:szCs w:val="22"/>
        </w:rPr>
        <w:t>“</w:t>
      </w:r>
      <w:r w:rsidRPr="002C207B">
        <w:rPr>
          <w:rFonts w:cs="Arial"/>
          <w:szCs w:val="22"/>
        </w:rPr>
        <w:t>Significant,</w:t>
      </w:r>
      <w:r>
        <w:rPr>
          <w:rFonts w:cs="Arial"/>
          <w:szCs w:val="22"/>
        </w:rPr>
        <w:t>”</w:t>
      </w:r>
      <w:r w:rsidRPr="002C207B">
        <w:rPr>
          <w:rFonts w:cs="Arial"/>
          <w:szCs w:val="22"/>
        </w:rPr>
        <w:t xml:space="preserve"> </w:t>
      </w:r>
      <w:r>
        <w:rPr>
          <w:rFonts w:cs="Arial"/>
          <w:szCs w:val="22"/>
        </w:rPr>
        <w:t>“</w:t>
      </w:r>
      <w:r w:rsidRPr="002C207B">
        <w:rPr>
          <w:rFonts w:cs="Arial"/>
          <w:szCs w:val="22"/>
        </w:rPr>
        <w:t>Aggressive,</w:t>
      </w:r>
      <w:r>
        <w:rPr>
          <w:rFonts w:cs="Arial"/>
          <w:szCs w:val="22"/>
        </w:rPr>
        <w:t>”</w:t>
      </w:r>
      <w:r w:rsidRPr="002C207B">
        <w:rPr>
          <w:rFonts w:cs="Arial"/>
          <w:szCs w:val="22"/>
        </w:rPr>
        <w:t xml:space="preserve"> and </w:t>
      </w:r>
      <w:r>
        <w:rPr>
          <w:rFonts w:cs="Arial"/>
          <w:szCs w:val="22"/>
        </w:rPr>
        <w:t>“</w:t>
      </w:r>
      <w:r w:rsidRPr="002C207B">
        <w:rPr>
          <w:rFonts w:cs="Arial"/>
          <w:szCs w:val="22"/>
        </w:rPr>
        <w:t>Highly Leveraged.</w:t>
      </w:r>
      <w:r>
        <w:rPr>
          <w:rFonts w:cs="Arial"/>
          <w:szCs w:val="22"/>
        </w:rPr>
        <w:t>”</w:t>
      </w:r>
      <w:r w:rsidRPr="002C207B">
        <w:rPr>
          <w:rFonts w:cs="Arial"/>
          <w:szCs w:val="22"/>
        </w:rPr>
        <w:t xml:space="preserve">  Most of the utilities have a financial risk profile of </w:t>
      </w:r>
      <w:r>
        <w:rPr>
          <w:rFonts w:cs="Arial"/>
          <w:szCs w:val="22"/>
        </w:rPr>
        <w:t>“</w:t>
      </w:r>
      <w:r w:rsidRPr="002C207B">
        <w:rPr>
          <w:rFonts w:cs="Arial"/>
          <w:szCs w:val="22"/>
        </w:rPr>
        <w:t>Aggressive.</w:t>
      </w:r>
      <w:r>
        <w:rPr>
          <w:rFonts w:cs="Arial"/>
          <w:szCs w:val="22"/>
        </w:rPr>
        <w:t>”</w:t>
      </w:r>
      <w:r w:rsidRPr="002C207B">
        <w:rPr>
          <w:rFonts w:cs="Arial"/>
          <w:szCs w:val="22"/>
        </w:rPr>
        <w:t xml:space="preserve">  </w:t>
      </w:r>
    </w:p>
    <w:p w14:paraId="54341B54" w14:textId="77777777" w:rsidR="00685365" w:rsidRPr="00B92045" w:rsidRDefault="00685365" w:rsidP="00685365">
      <w:pPr>
        <w:keepNext/>
        <w:keepLines/>
        <w:suppressLineNumbers/>
        <w:spacing w:line="480" w:lineRule="auto"/>
        <w:ind w:left="720" w:hanging="720"/>
        <w:jc w:val="both"/>
        <w:rPr>
          <w:rFonts w:cs="Arial"/>
          <w:caps/>
          <w:szCs w:val="22"/>
        </w:rPr>
      </w:pPr>
    </w:p>
    <w:p w14:paraId="6E0952FC" w14:textId="77777777" w:rsidR="00685365" w:rsidRPr="00B92045" w:rsidRDefault="00685365" w:rsidP="00685365">
      <w:pPr>
        <w:keepNext/>
        <w:spacing w:line="480" w:lineRule="auto"/>
        <w:ind w:left="720" w:hanging="720"/>
        <w:jc w:val="both"/>
        <w:rPr>
          <w:rFonts w:cs="Arial"/>
          <w:b/>
          <w:caps/>
          <w:szCs w:val="22"/>
        </w:rPr>
      </w:pPr>
      <w:r>
        <w:rPr>
          <w:rFonts w:cs="Arial"/>
          <w:b/>
          <w:caps/>
          <w:szCs w:val="22"/>
        </w:rPr>
        <w:t>Q</w:t>
      </w:r>
      <w:r>
        <w:rPr>
          <w:rFonts w:cs="Arial"/>
          <w:b/>
          <w:caps/>
          <w:szCs w:val="22"/>
        </w:rPr>
        <w:tab/>
        <w:t xml:space="preserve">CAN S&amp;p’S CREDIT METRIC METHODOLOGY BE USED TO ASSESS THE REASONABLENESS OF YOUR RECOMMENDED RATE OF RETURN FOR </w:t>
      </w:r>
      <w:proofErr w:type="spellStart"/>
      <w:r>
        <w:rPr>
          <w:rFonts w:cs="Arial"/>
          <w:b/>
          <w:caps/>
          <w:szCs w:val="22"/>
        </w:rPr>
        <w:t>EPE</w:t>
      </w:r>
      <w:proofErr w:type="spellEnd"/>
      <w:r>
        <w:rPr>
          <w:rFonts w:cs="Arial"/>
          <w:b/>
          <w:caps/>
          <w:szCs w:val="22"/>
        </w:rPr>
        <w:t>, IF IT DOES NOT HAVE AN S&amp;p BOND RATING?</w:t>
      </w:r>
    </w:p>
    <w:p w14:paraId="76C175D8" w14:textId="78D8AAB0" w:rsidR="00685365" w:rsidRDefault="00685365" w:rsidP="00685365">
      <w:pPr>
        <w:spacing w:line="480" w:lineRule="auto"/>
        <w:ind w:left="720" w:right="-14" w:hanging="720"/>
        <w:jc w:val="both"/>
        <w:rPr>
          <w:rFonts w:cs="Arial"/>
          <w:szCs w:val="22"/>
        </w:rPr>
      </w:pPr>
      <w:r>
        <w:rPr>
          <w:rFonts w:cs="Arial"/>
          <w:szCs w:val="22"/>
        </w:rPr>
        <w:t>A</w:t>
      </w:r>
      <w:r>
        <w:rPr>
          <w:rFonts w:cs="Arial"/>
          <w:szCs w:val="22"/>
        </w:rPr>
        <w:tab/>
        <w:t xml:space="preserve">Because </w:t>
      </w:r>
      <w:proofErr w:type="spellStart"/>
      <w:r>
        <w:rPr>
          <w:rFonts w:cs="Arial"/>
          <w:szCs w:val="22"/>
        </w:rPr>
        <w:t>EPE</w:t>
      </w:r>
      <w:proofErr w:type="spellEnd"/>
      <w:r>
        <w:rPr>
          <w:rFonts w:cs="Arial"/>
          <w:szCs w:val="22"/>
        </w:rPr>
        <w:t xml:space="preserve"> does not currently have a business </w:t>
      </w:r>
      <w:r w:rsidR="00F87C52">
        <w:rPr>
          <w:rFonts w:cs="Arial"/>
          <w:szCs w:val="22"/>
        </w:rPr>
        <w:t xml:space="preserve">risk </w:t>
      </w:r>
      <w:r>
        <w:rPr>
          <w:rFonts w:cs="Arial"/>
          <w:szCs w:val="22"/>
        </w:rPr>
        <w:t>profile score and financial</w:t>
      </w:r>
      <w:r w:rsidR="00F87C52">
        <w:rPr>
          <w:rFonts w:cs="Arial"/>
          <w:szCs w:val="22"/>
        </w:rPr>
        <w:t xml:space="preserve"> risk</w:t>
      </w:r>
      <w:r>
        <w:rPr>
          <w:rFonts w:cs="Arial"/>
          <w:szCs w:val="22"/>
        </w:rPr>
        <w:t xml:space="preserve"> profile score from S&amp;P, these metrics cannot be applied directly to </w:t>
      </w:r>
      <w:proofErr w:type="spellStart"/>
      <w:r>
        <w:rPr>
          <w:rFonts w:cs="Arial"/>
          <w:szCs w:val="22"/>
        </w:rPr>
        <w:t>EPE</w:t>
      </w:r>
      <w:proofErr w:type="spellEnd"/>
      <w:r>
        <w:rPr>
          <w:rFonts w:cs="Arial"/>
          <w:szCs w:val="22"/>
        </w:rPr>
        <w:t xml:space="preserve">.  However, I would note that </w:t>
      </w:r>
      <w:proofErr w:type="spellStart"/>
      <w:r>
        <w:rPr>
          <w:rFonts w:cs="Arial"/>
          <w:szCs w:val="22"/>
        </w:rPr>
        <w:t>EPE</w:t>
      </w:r>
      <w:proofErr w:type="spellEnd"/>
      <w:r>
        <w:rPr>
          <w:rFonts w:cs="Arial"/>
          <w:szCs w:val="22"/>
        </w:rPr>
        <w:t xml:space="preserve"> is unique from most electric utility companies in that it no longer has a credit rating from S&amp;P.  Indeed, all the electric utility industry companies </w:t>
      </w:r>
      <w:r w:rsidR="0067388B">
        <w:rPr>
          <w:rFonts w:cs="Arial"/>
          <w:szCs w:val="22"/>
        </w:rPr>
        <w:t xml:space="preserve">followed by </w:t>
      </w:r>
      <w:r w:rsidR="0067388B">
        <w:rPr>
          <w:rFonts w:cs="Arial"/>
          <w:i/>
          <w:szCs w:val="22"/>
        </w:rPr>
        <w:t>Value Line</w:t>
      </w:r>
      <w:r>
        <w:rPr>
          <w:rFonts w:cs="Arial"/>
          <w:szCs w:val="22"/>
        </w:rPr>
        <w:t xml:space="preserve">, </w:t>
      </w:r>
      <w:r w:rsidR="0067388B">
        <w:rPr>
          <w:rFonts w:cs="Arial"/>
          <w:szCs w:val="22"/>
        </w:rPr>
        <w:t xml:space="preserve">except for </w:t>
      </w:r>
      <w:proofErr w:type="spellStart"/>
      <w:r w:rsidR="0067388B">
        <w:rPr>
          <w:rFonts w:cs="Arial"/>
          <w:szCs w:val="22"/>
        </w:rPr>
        <w:t>MGE</w:t>
      </w:r>
      <w:proofErr w:type="spellEnd"/>
      <w:r w:rsidR="0067388B">
        <w:rPr>
          <w:rFonts w:cs="Arial"/>
          <w:szCs w:val="22"/>
        </w:rPr>
        <w:t xml:space="preserve"> Energy</w:t>
      </w:r>
      <w:r w:rsidR="008C4BD5">
        <w:rPr>
          <w:rFonts w:cs="Arial"/>
          <w:szCs w:val="22"/>
        </w:rPr>
        <w:t>, have S&amp;P bond ratings.</w:t>
      </w:r>
    </w:p>
    <w:p w14:paraId="76D2D9AC" w14:textId="77777777" w:rsidR="00685365" w:rsidRDefault="00685365" w:rsidP="00685365">
      <w:pPr>
        <w:spacing w:line="480" w:lineRule="auto"/>
        <w:ind w:left="720" w:right="-14" w:hanging="720"/>
        <w:jc w:val="both"/>
        <w:rPr>
          <w:rFonts w:cs="Arial"/>
          <w:szCs w:val="22"/>
        </w:rPr>
      </w:pPr>
      <w:r>
        <w:rPr>
          <w:rFonts w:cs="Arial"/>
          <w:szCs w:val="22"/>
        </w:rPr>
        <w:tab/>
      </w:r>
      <w:r>
        <w:rPr>
          <w:rFonts w:cs="Arial"/>
          <w:szCs w:val="22"/>
        </w:rPr>
        <w:tab/>
        <w:t xml:space="preserve">In order to assess whether or not my recommended rate of return supports both </w:t>
      </w:r>
      <w:proofErr w:type="spellStart"/>
      <w:r>
        <w:rPr>
          <w:rFonts w:cs="Arial"/>
          <w:szCs w:val="22"/>
        </w:rPr>
        <w:t>EPE’s</w:t>
      </w:r>
      <w:proofErr w:type="spellEnd"/>
      <w:r>
        <w:rPr>
          <w:rFonts w:cs="Arial"/>
          <w:szCs w:val="22"/>
        </w:rPr>
        <w:t xml:space="preserve"> financial strength and provides fair compensation, I am applying the S&amp;P credit </w:t>
      </w:r>
      <w:r>
        <w:rPr>
          <w:rFonts w:cs="Arial"/>
          <w:szCs w:val="22"/>
        </w:rPr>
        <w:lastRenderedPageBreak/>
        <w:t xml:space="preserve">metrics with my rate of return for </w:t>
      </w:r>
      <w:proofErr w:type="spellStart"/>
      <w:r>
        <w:rPr>
          <w:rFonts w:cs="Arial"/>
          <w:szCs w:val="22"/>
        </w:rPr>
        <w:t>EPE</w:t>
      </w:r>
      <w:proofErr w:type="spellEnd"/>
      <w:r>
        <w:rPr>
          <w:rFonts w:cs="Arial"/>
          <w:szCs w:val="22"/>
        </w:rPr>
        <w:t xml:space="preserve"> based on the business and financial score makeup of my proxy group, </w:t>
      </w:r>
      <w:proofErr w:type="spellStart"/>
      <w:r>
        <w:rPr>
          <w:rFonts w:cs="Arial"/>
          <w:szCs w:val="22"/>
        </w:rPr>
        <w:t>EPE’s</w:t>
      </w:r>
      <w:proofErr w:type="spellEnd"/>
      <w:r>
        <w:rPr>
          <w:rFonts w:cs="Arial"/>
          <w:szCs w:val="22"/>
        </w:rPr>
        <w:t xml:space="preserve"> S&amp;P’s financial and business score ratings prior to the elimination of these ratings, and a normal distribution of S&amp;P’s financial and business score ratings for the electric utility industry.</w:t>
      </w:r>
    </w:p>
    <w:p w14:paraId="11F5A595" w14:textId="7E1C5E10" w:rsidR="00685365" w:rsidRDefault="00685365" w:rsidP="00685365">
      <w:pPr>
        <w:spacing w:line="480" w:lineRule="auto"/>
        <w:ind w:left="720" w:right="-14" w:hanging="720"/>
        <w:jc w:val="both"/>
        <w:rPr>
          <w:rFonts w:cs="Arial"/>
          <w:szCs w:val="22"/>
        </w:rPr>
      </w:pPr>
      <w:r>
        <w:rPr>
          <w:rFonts w:cs="Arial"/>
          <w:szCs w:val="22"/>
        </w:rPr>
        <w:tab/>
      </w:r>
      <w:r>
        <w:rPr>
          <w:rFonts w:cs="Arial"/>
          <w:szCs w:val="22"/>
        </w:rPr>
        <w:tab/>
        <w:t xml:space="preserve">Based on a credit report issued May 21, 2018 for </w:t>
      </w:r>
      <w:proofErr w:type="spellStart"/>
      <w:r>
        <w:rPr>
          <w:rFonts w:cs="Arial"/>
          <w:szCs w:val="22"/>
        </w:rPr>
        <w:t>EPE</w:t>
      </w:r>
      <w:proofErr w:type="spellEnd"/>
      <w:r>
        <w:rPr>
          <w:rFonts w:cs="Arial"/>
          <w:szCs w:val="22"/>
        </w:rPr>
        <w:t xml:space="preserve">, prior to its acquisition by Sun Jupiter Holdings LLC, </w:t>
      </w:r>
      <w:r w:rsidRPr="00644A02">
        <w:rPr>
          <w:rFonts w:cs="Arial"/>
          <w:szCs w:val="22"/>
        </w:rPr>
        <w:t xml:space="preserve">S&amp;P had business and financial </w:t>
      </w:r>
      <w:r w:rsidR="00547FB6">
        <w:rPr>
          <w:rFonts w:cs="Arial"/>
          <w:szCs w:val="22"/>
        </w:rPr>
        <w:t xml:space="preserve">risk profile </w:t>
      </w:r>
      <w:r w:rsidRPr="00644A02">
        <w:rPr>
          <w:rFonts w:cs="Arial"/>
          <w:szCs w:val="22"/>
        </w:rPr>
        <w:t xml:space="preserve">scores for </w:t>
      </w:r>
      <w:proofErr w:type="spellStart"/>
      <w:r w:rsidRPr="00644A02">
        <w:rPr>
          <w:rFonts w:cs="Arial"/>
          <w:szCs w:val="22"/>
        </w:rPr>
        <w:t>EPE</w:t>
      </w:r>
      <w:proofErr w:type="spellEnd"/>
      <w:r w:rsidRPr="00644A02">
        <w:rPr>
          <w:rFonts w:cs="Arial"/>
          <w:szCs w:val="22"/>
        </w:rPr>
        <w:t xml:space="preserve"> of “Strong” and “Significant,” respectively.</w:t>
      </w:r>
      <w:r w:rsidRPr="00644A02">
        <w:rPr>
          <w:rStyle w:val="FootnoteReference"/>
          <w:rFonts w:cs="Arial"/>
          <w:szCs w:val="22"/>
        </w:rPr>
        <w:footnoteReference w:id="40"/>
      </w:r>
      <w:r w:rsidR="0067388B">
        <w:rPr>
          <w:rFonts w:cs="Arial"/>
          <w:szCs w:val="22"/>
        </w:rPr>
        <w:t xml:space="preserve">  A</w:t>
      </w:r>
      <w:r w:rsidRPr="00644A02">
        <w:rPr>
          <w:rFonts w:cs="Arial"/>
          <w:szCs w:val="22"/>
        </w:rPr>
        <w:t>s shown</w:t>
      </w:r>
      <w:r>
        <w:rPr>
          <w:rFonts w:cs="Arial"/>
          <w:szCs w:val="22"/>
        </w:rPr>
        <w:t xml:space="preserve"> on my </w:t>
      </w:r>
      <w:r w:rsidRPr="00E92E03">
        <w:rPr>
          <w:rFonts w:cs="Arial"/>
          <w:szCs w:val="22"/>
        </w:rPr>
        <w:t>Exhibit MPG-18</w:t>
      </w:r>
      <w:r w:rsidR="00FD737F">
        <w:rPr>
          <w:rFonts w:cs="Arial"/>
          <w:szCs w:val="22"/>
        </w:rPr>
        <w:t xml:space="preserve"> and in Figure 5 below</w:t>
      </w:r>
      <w:r>
        <w:rPr>
          <w:rFonts w:cs="Arial"/>
          <w:szCs w:val="22"/>
        </w:rPr>
        <w:t xml:space="preserve">, the electric utility industry </w:t>
      </w:r>
      <w:r w:rsidR="00FD737F">
        <w:rPr>
          <w:rFonts w:cs="Arial"/>
          <w:szCs w:val="22"/>
        </w:rPr>
        <w:t>has</w:t>
      </w:r>
      <w:r>
        <w:rPr>
          <w:rFonts w:cs="Arial"/>
          <w:szCs w:val="22"/>
        </w:rPr>
        <w:t xml:space="preserve"> average business and fina</w:t>
      </w:r>
      <w:r w:rsidR="00FD737F">
        <w:rPr>
          <w:rFonts w:cs="Arial"/>
          <w:szCs w:val="22"/>
        </w:rPr>
        <w:t>ncial score ratings from S&amp;P of</w:t>
      </w:r>
      <w:r>
        <w:rPr>
          <w:rFonts w:cs="Arial"/>
          <w:szCs w:val="22"/>
        </w:rPr>
        <w:t xml:space="preserve"> “Excellent” and “Significant,” respectively. </w:t>
      </w:r>
    </w:p>
    <w:p w14:paraId="17DDEF9E" w14:textId="4537C87E" w:rsidR="00685365" w:rsidRDefault="00685365" w:rsidP="00685365">
      <w:pPr>
        <w:spacing w:line="480" w:lineRule="auto"/>
        <w:ind w:left="720" w:right="-14" w:hanging="720"/>
        <w:jc w:val="both"/>
        <w:rPr>
          <w:rFonts w:cs="Arial"/>
          <w:szCs w:val="22"/>
        </w:rPr>
      </w:pPr>
      <w:r>
        <w:rPr>
          <w:rFonts w:cs="Arial"/>
          <w:szCs w:val="22"/>
        </w:rPr>
        <w:tab/>
      </w:r>
      <w:r>
        <w:rPr>
          <w:rFonts w:cs="Arial"/>
          <w:szCs w:val="22"/>
        </w:rPr>
        <w:tab/>
      </w:r>
      <w:proofErr w:type="spellStart"/>
      <w:r>
        <w:rPr>
          <w:rFonts w:cs="Arial"/>
          <w:szCs w:val="22"/>
        </w:rPr>
        <w:t>EPE’s</w:t>
      </w:r>
      <w:proofErr w:type="spellEnd"/>
      <w:r>
        <w:rPr>
          <w:rFonts w:cs="Arial"/>
          <w:szCs w:val="22"/>
        </w:rPr>
        <w:t xml:space="preserve"> business risk is still largely described by the regulatory mechanisms in its service territory in New Mexico and in Texas.  Further, as noted above, its capital structure and related cash flow coverage credit metrics have largely reflected strong regulatory performance, and adequate coverage to supports its bond rating.  Hence, I propose to use </w:t>
      </w:r>
      <w:proofErr w:type="spellStart"/>
      <w:r>
        <w:rPr>
          <w:rFonts w:cs="Arial"/>
          <w:szCs w:val="22"/>
        </w:rPr>
        <w:t>EPE’s</w:t>
      </w:r>
      <w:proofErr w:type="spellEnd"/>
      <w:r>
        <w:rPr>
          <w:rFonts w:cs="Arial"/>
          <w:szCs w:val="22"/>
        </w:rPr>
        <w:t xml:space="preserve"> previous S&amp;P business and financial risk credit scores as a proxy for its current business and financial risk assessment.  </w:t>
      </w:r>
    </w:p>
    <w:p w14:paraId="0813651D" w14:textId="493A8C19" w:rsidR="00131F94" w:rsidRDefault="00131F94" w:rsidP="00685365">
      <w:pPr>
        <w:spacing w:line="480" w:lineRule="auto"/>
        <w:ind w:left="720" w:right="-14" w:hanging="720"/>
        <w:jc w:val="both"/>
        <w:rPr>
          <w:rFonts w:cs="Arial"/>
          <w:szCs w:val="22"/>
        </w:rPr>
      </w:pPr>
      <w:r>
        <w:rPr>
          <w:rFonts w:cs="Arial"/>
          <w:szCs w:val="22"/>
        </w:rPr>
        <w:tab/>
      </w:r>
      <w:r>
        <w:rPr>
          <w:rFonts w:cs="Arial"/>
          <w:szCs w:val="22"/>
        </w:rPr>
        <w:tab/>
        <w:t xml:space="preserve">Using </w:t>
      </w:r>
      <w:proofErr w:type="spellStart"/>
      <w:r>
        <w:rPr>
          <w:rFonts w:cs="Arial"/>
          <w:szCs w:val="22"/>
        </w:rPr>
        <w:t>EPE’s</w:t>
      </w:r>
      <w:proofErr w:type="spellEnd"/>
      <w:r>
        <w:rPr>
          <w:rFonts w:cs="Arial"/>
          <w:szCs w:val="22"/>
        </w:rPr>
        <w:t xml:space="preserve"> S&amp;P business score reasonably aligns with the electric utility industry average, which as shown in Figure 5 below, suggests that </w:t>
      </w:r>
      <w:proofErr w:type="spellStart"/>
      <w:r>
        <w:rPr>
          <w:rFonts w:cs="Arial"/>
          <w:szCs w:val="22"/>
        </w:rPr>
        <w:t>EPE’s</w:t>
      </w:r>
      <w:proofErr w:type="spellEnd"/>
      <w:r>
        <w:rPr>
          <w:rFonts w:cs="Arial"/>
          <w:szCs w:val="22"/>
        </w:rPr>
        <w:t xml:space="preserve"> “Strong” business profile score is somewhat weaker than the industry norm, but its “Significant” financial profile score aligns with the majority of regulated utility companies.  For these reasons, I believe using S&amp;P’s previous business and profile score ranking</w:t>
      </w:r>
      <w:r w:rsidR="003A46EA">
        <w:rPr>
          <w:rFonts w:cs="Arial"/>
          <w:szCs w:val="22"/>
        </w:rPr>
        <w:t>s</w:t>
      </w:r>
      <w:r>
        <w:rPr>
          <w:rFonts w:cs="Arial"/>
          <w:szCs w:val="22"/>
        </w:rPr>
        <w:t xml:space="preserve"> for </w:t>
      </w:r>
      <w:proofErr w:type="spellStart"/>
      <w:r>
        <w:rPr>
          <w:rFonts w:cs="Arial"/>
          <w:szCs w:val="22"/>
        </w:rPr>
        <w:t>EPE</w:t>
      </w:r>
      <w:proofErr w:type="spellEnd"/>
      <w:r>
        <w:rPr>
          <w:rFonts w:cs="Arial"/>
          <w:szCs w:val="22"/>
        </w:rPr>
        <w:t xml:space="preserve"> is still reasonable, and will produce a reasonable assessment of whether or not my recommended rate of return will support its investment grade bond rating and financial integrity.</w:t>
      </w:r>
    </w:p>
    <w:p w14:paraId="454A8AB2" w14:textId="2995F8EB" w:rsidR="00685365" w:rsidRPr="002C207B" w:rsidRDefault="005F035E" w:rsidP="008C4BD5">
      <w:pPr>
        <w:suppressLineNumbers/>
        <w:spacing w:line="480" w:lineRule="auto"/>
        <w:ind w:left="720"/>
        <w:jc w:val="center"/>
        <w:rPr>
          <w:rFonts w:cs="Arial"/>
          <w:caps/>
          <w:szCs w:val="22"/>
        </w:rPr>
      </w:pPr>
      <w:r w:rsidRPr="005F035E">
        <w:rPr>
          <w:rFonts w:cs="Arial"/>
          <w:caps/>
          <w:noProof/>
          <w:szCs w:val="22"/>
        </w:rPr>
        <w:lastRenderedPageBreak/>
        <w:drawing>
          <wp:inline distT="0" distB="0" distL="0" distR="0" wp14:anchorId="6F13C884" wp14:editId="315D670E">
            <wp:extent cx="5409904" cy="7493635"/>
            <wp:effectExtent l="0" t="0" r="63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417969" cy="7504806"/>
                    </a:xfrm>
                    <a:prstGeom prst="rect">
                      <a:avLst/>
                    </a:prstGeom>
                    <a:noFill/>
                    <a:ln>
                      <a:noFill/>
                    </a:ln>
                  </pic:spPr>
                </pic:pic>
              </a:graphicData>
            </a:graphic>
          </wp:inline>
        </w:drawing>
      </w:r>
    </w:p>
    <w:p w14:paraId="7B578520" w14:textId="59A2653F" w:rsidR="00131F94" w:rsidRDefault="00131F94" w:rsidP="00131F94">
      <w:pPr>
        <w:spacing w:line="480" w:lineRule="auto"/>
        <w:ind w:left="720" w:right="-14" w:firstLine="720"/>
        <w:jc w:val="both"/>
        <w:rPr>
          <w:rFonts w:cs="Arial"/>
          <w:szCs w:val="22"/>
        </w:rPr>
      </w:pPr>
      <w:r>
        <w:rPr>
          <w:rFonts w:cs="Arial"/>
          <w:szCs w:val="22"/>
        </w:rPr>
        <w:t xml:space="preserve">I propose to use S&amp;P’s bond rating as opposed to Moody’s and Fitch, because S&amp;P’s methodology more closely aligns with the cost of service constructs within a rate </w:t>
      </w:r>
      <w:r>
        <w:rPr>
          <w:rFonts w:cs="Arial"/>
          <w:szCs w:val="22"/>
        </w:rPr>
        <w:lastRenderedPageBreak/>
        <w:t xml:space="preserve">case proceeding.  Also, S&amp;P publishes a matrix which clearly delineates credit rating metrics with an assigned credit rating.  For these reasons, I propose to use S&amp;P’s credit metric analysis to demonstrate the reasonableness of my overall rate of return in supporting </w:t>
      </w:r>
      <w:proofErr w:type="spellStart"/>
      <w:r>
        <w:rPr>
          <w:rFonts w:cs="Arial"/>
          <w:szCs w:val="22"/>
        </w:rPr>
        <w:t>EPE’s</w:t>
      </w:r>
      <w:proofErr w:type="spellEnd"/>
      <w:r>
        <w:rPr>
          <w:rFonts w:cs="Arial"/>
          <w:szCs w:val="22"/>
        </w:rPr>
        <w:t xml:space="preserve"> credit rating and in turn access to capital.</w:t>
      </w:r>
    </w:p>
    <w:p w14:paraId="46130086" w14:textId="77777777" w:rsidR="00131F94" w:rsidRPr="00B92045" w:rsidRDefault="00131F94" w:rsidP="00131F94">
      <w:pPr>
        <w:suppressLineNumbers/>
        <w:spacing w:line="480" w:lineRule="auto"/>
        <w:ind w:left="720" w:right="-14" w:firstLine="720"/>
        <w:jc w:val="both"/>
        <w:rPr>
          <w:rFonts w:cs="Arial"/>
          <w:szCs w:val="22"/>
        </w:rPr>
      </w:pPr>
    </w:p>
    <w:p w14:paraId="57B7964B" w14:textId="77777777" w:rsidR="00685365" w:rsidRPr="002C207B" w:rsidRDefault="00685365" w:rsidP="00685365">
      <w:pPr>
        <w:keepNext/>
        <w:spacing w:line="480" w:lineRule="auto"/>
        <w:ind w:left="720" w:hanging="720"/>
        <w:jc w:val="both"/>
        <w:rPr>
          <w:rFonts w:cs="Arial"/>
          <w:b/>
          <w:caps/>
          <w:szCs w:val="22"/>
        </w:rPr>
      </w:pPr>
      <w:r w:rsidRPr="002C207B">
        <w:rPr>
          <w:rFonts w:cs="Arial"/>
          <w:b/>
          <w:caps/>
          <w:szCs w:val="22"/>
        </w:rPr>
        <w:t>Q</w:t>
      </w:r>
      <w:r w:rsidRPr="002C207B">
        <w:rPr>
          <w:rFonts w:cs="Arial"/>
          <w:b/>
          <w:caps/>
          <w:szCs w:val="22"/>
        </w:rPr>
        <w:tab/>
        <w:t>Please describe S&amp;P</w:t>
      </w:r>
      <w:r>
        <w:rPr>
          <w:rFonts w:cs="Arial"/>
          <w:b/>
          <w:caps/>
          <w:szCs w:val="22"/>
        </w:rPr>
        <w:t>’</w:t>
      </w:r>
      <w:r w:rsidRPr="002C207B">
        <w:rPr>
          <w:rFonts w:cs="Arial"/>
          <w:b/>
          <w:caps/>
          <w:szCs w:val="22"/>
        </w:rPr>
        <w:t>s use of the financial benchmark ratios in its credit rating review.</w:t>
      </w:r>
    </w:p>
    <w:p w14:paraId="390DADF6" w14:textId="77777777" w:rsidR="00685365" w:rsidRPr="002C207B" w:rsidRDefault="00685365" w:rsidP="00685365">
      <w:pPr>
        <w:spacing w:line="480" w:lineRule="auto"/>
        <w:ind w:left="720" w:hanging="720"/>
        <w:jc w:val="both"/>
        <w:rPr>
          <w:rFonts w:cs="Arial"/>
          <w:szCs w:val="22"/>
        </w:rPr>
      </w:pPr>
      <w:r w:rsidRPr="002C207B">
        <w:rPr>
          <w:rFonts w:cs="Arial"/>
          <w:szCs w:val="22"/>
        </w:rPr>
        <w:t>A</w:t>
      </w:r>
      <w:r w:rsidRPr="002C207B">
        <w:rPr>
          <w:rFonts w:cs="Arial"/>
          <w:szCs w:val="22"/>
        </w:rPr>
        <w:tab/>
        <w:t>S&amp;P evaluates a utility</w:t>
      </w:r>
      <w:r>
        <w:rPr>
          <w:rFonts w:cs="Arial"/>
          <w:szCs w:val="22"/>
        </w:rPr>
        <w:t>’</w:t>
      </w:r>
      <w:r w:rsidRPr="002C207B">
        <w:rPr>
          <w:rFonts w:cs="Arial"/>
          <w:szCs w:val="22"/>
        </w:rPr>
        <w:t xml:space="preserve">s credit rating based on an assessment of its financial and business risks.  A combination of financial and business risks equates to the overall assessment of </w:t>
      </w:r>
      <w:proofErr w:type="spellStart"/>
      <w:r>
        <w:rPr>
          <w:rFonts w:cs="Arial"/>
          <w:szCs w:val="22"/>
        </w:rPr>
        <w:t>EPE’</w:t>
      </w:r>
      <w:r w:rsidRPr="002C207B">
        <w:rPr>
          <w:rFonts w:cs="Arial"/>
          <w:szCs w:val="22"/>
        </w:rPr>
        <w:t>s</w:t>
      </w:r>
      <w:proofErr w:type="spellEnd"/>
      <w:r w:rsidRPr="002C207B">
        <w:rPr>
          <w:rFonts w:cs="Arial"/>
          <w:szCs w:val="22"/>
        </w:rPr>
        <w:t xml:space="preserve"> total credit risk exposure.  On November 19, 2013, S&amp;P updated its methodology.  In its update, S&amp;P published a matrix of financial ratios that defines the level of financial risk as a function of the level of business risk.  </w:t>
      </w:r>
    </w:p>
    <w:p w14:paraId="5CD793BA" w14:textId="77777777" w:rsidR="00685365" w:rsidRPr="002C207B" w:rsidRDefault="00685365" w:rsidP="00685365">
      <w:pPr>
        <w:spacing w:line="480" w:lineRule="auto"/>
        <w:ind w:left="720" w:right="-18" w:firstLine="720"/>
        <w:jc w:val="both"/>
        <w:rPr>
          <w:rFonts w:cs="Arial"/>
          <w:szCs w:val="22"/>
        </w:rPr>
      </w:pPr>
      <w:r w:rsidRPr="002C207B">
        <w:rPr>
          <w:rFonts w:cs="Arial"/>
          <w:szCs w:val="22"/>
        </w:rPr>
        <w:t>S&amp;P publishes ranges for primary financial ratios that it uses as guidance in its credit review for utility companies.  The two core financial ratio benchmarks it relies on in its credit rating process include: (1) Debt to Earnings Before Interest, Taxes, Depreciation and Amortization (</w:t>
      </w:r>
      <w:r>
        <w:rPr>
          <w:rFonts w:cs="Arial"/>
          <w:szCs w:val="22"/>
        </w:rPr>
        <w:t>“</w:t>
      </w:r>
      <w:r w:rsidRPr="002C207B">
        <w:rPr>
          <w:rFonts w:cs="Arial"/>
          <w:szCs w:val="22"/>
        </w:rPr>
        <w:t>EBITDA</w:t>
      </w:r>
      <w:r>
        <w:rPr>
          <w:rFonts w:cs="Arial"/>
          <w:szCs w:val="22"/>
        </w:rPr>
        <w:t>”</w:t>
      </w:r>
      <w:r w:rsidRPr="002C207B">
        <w:rPr>
          <w:rFonts w:cs="Arial"/>
          <w:szCs w:val="22"/>
        </w:rPr>
        <w:t>); and (2) Funds From Operations (</w:t>
      </w:r>
      <w:r>
        <w:rPr>
          <w:rFonts w:cs="Arial"/>
          <w:szCs w:val="22"/>
        </w:rPr>
        <w:t>“</w:t>
      </w:r>
      <w:proofErr w:type="spellStart"/>
      <w:r w:rsidRPr="002C207B">
        <w:rPr>
          <w:rFonts w:cs="Arial"/>
          <w:szCs w:val="22"/>
        </w:rPr>
        <w:t>FFO</w:t>
      </w:r>
      <w:proofErr w:type="spellEnd"/>
      <w:r>
        <w:rPr>
          <w:rFonts w:cs="Arial"/>
          <w:szCs w:val="22"/>
        </w:rPr>
        <w:t>”</w:t>
      </w:r>
      <w:r w:rsidRPr="002C207B">
        <w:rPr>
          <w:rFonts w:cs="Arial"/>
          <w:szCs w:val="22"/>
        </w:rPr>
        <w:t>) to Total Debt.</w:t>
      </w:r>
      <w:r>
        <w:rPr>
          <w:rFonts w:cs="Arial"/>
          <w:szCs w:val="22"/>
          <w:vertAlign w:val="superscript"/>
        </w:rPr>
        <w:footnoteReference w:id="41"/>
      </w:r>
      <w:r w:rsidRPr="002C207B">
        <w:rPr>
          <w:rFonts w:cs="Arial"/>
          <w:szCs w:val="22"/>
        </w:rPr>
        <w:t xml:space="preserve"> </w:t>
      </w:r>
    </w:p>
    <w:p w14:paraId="554B2CD9" w14:textId="77777777" w:rsidR="00685365" w:rsidRPr="002C207B" w:rsidRDefault="00685365" w:rsidP="00685365">
      <w:pPr>
        <w:suppressLineNumbers/>
        <w:spacing w:line="480" w:lineRule="auto"/>
        <w:ind w:left="720" w:hanging="720"/>
        <w:jc w:val="both"/>
        <w:rPr>
          <w:szCs w:val="22"/>
        </w:rPr>
      </w:pPr>
    </w:p>
    <w:p w14:paraId="40045859" w14:textId="77777777" w:rsidR="00685365" w:rsidRPr="002C207B" w:rsidRDefault="00685365" w:rsidP="00685365">
      <w:pPr>
        <w:spacing w:line="480" w:lineRule="auto"/>
        <w:ind w:left="720" w:hanging="720"/>
        <w:jc w:val="both"/>
        <w:rPr>
          <w:rFonts w:cs="Arial"/>
          <w:b/>
          <w:caps/>
          <w:szCs w:val="22"/>
        </w:rPr>
      </w:pPr>
      <w:r w:rsidRPr="002C207B">
        <w:rPr>
          <w:rFonts w:cs="Arial"/>
          <w:b/>
          <w:caps/>
          <w:szCs w:val="22"/>
        </w:rPr>
        <w:t>Q</w:t>
      </w:r>
      <w:r w:rsidRPr="002C207B">
        <w:rPr>
          <w:rFonts w:cs="Arial"/>
          <w:b/>
          <w:caps/>
          <w:szCs w:val="22"/>
        </w:rPr>
        <w:tab/>
        <w:t>How did you apply S&amp;P</w:t>
      </w:r>
      <w:r>
        <w:rPr>
          <w:rFonts w:cs="Arial"/>
          <w:b/>
          <w:caps/>
          <w:szCs w:val="22"/>
        </w:rPr>
        <w:t>’</w:t>
      </w:r>
      <w:r w:rsidRPr="002C207B">
        <w:rPr>
          <w:rFonts w:cs="Arial"/>
          <w:b/>
          <w:caps/>
          <w:szCs w:val="22"/>
        </w:rPr>
        <w:t>s financial ratios to test the reasonableness of your rate of return recommendations?</w:t>
      </w:r>
    </w:p>
    <w:p w14:paraId="01BE2E2B" w14:textId="35D73E88" w:rsidR="00685365" w:rsidRPr="002C207B" w:rsidRDefault="00685365" w:rsidP="00685365">
      <w:pPr>
        <w:spacing w:line="480" w:lineRule="auto"/>
        <w:ind w:left="720" w:hanging="720"/>
        <w:jc w:val="both"/>
        <w:rPr>
          <w:rFonts w:cs="Arial"/>
          <w:szCs w:val="22"/>
        </w:rPr>
      </w:pPr>
      <w:r w:rsidRPr="002C207B">
        <w:rPr>
          <w:rFonts w:cs="Arial"/>
          <w:szCs w:val="22"/>
        </w:rPr>
        <w:t>A</w:t>
      </w:r>
      <w:r w:rsidRPr="002C207B">
        <w:rPr>
          <w:rFonts w:cs="Arial"/>
          <w:szCs w:val="22"/>
        </w:rPr>
        <w:tab/>
        <w:t>I calculated each of S&amp;P</w:t>
      </w:r>
      <w:r>
        <w:rPr>
          <w:rFonts w:cs="Arial"/>
          <w:szCs w:val="22"/>
        </w:rPr>
        <w:t>’</w:t>
      </w:r>
      <w:r w:rsidRPr="002C207B">
        <w:rPr>
          <w:rFonts w:cs="Arial"/>
          <w:szCs w:val="22"/>
        </w:rPr>
        <w:t xml:space="preserve">s financial ratios based on </w:t>
      </w:r>
      <w:proofErr w:type="spellStart"/>
      <w:r>
        <w:rPr>
          <w:rFonts w:cs="Arial"/>
          <w:szCs w:val="22"/>
        </w:rPr>
        <w:t>EPE’</w:t>
      </w:r>
      <w:r w:rsidRPr="002C207B">
        <w:rPr>
          <w:rFonts w:cs="Arial"/>
          <w:szCs w:val="22"/>
        </w:rPr>
        <w:t>s</w:t>
      </w:r>
      <w:proofErr w:type="spellEnd"/>
      <w:r w:rsidRPr="002C207B">
        <w:rPr>
          <w:rFonts w:cs="Arial"/>
          <w:szCs w:val="22"/>
        </w:rPr>
        <w:t xml:space="preserve"> cost of service for its</w:t>
      </w:r>
      <w:r>
        <w:rPr>
          <w:rFonts w:cs="Arial"/>
          <w:szCs w:val="22"/>
        </w:rPr>
        <w:t xml:space="preserve"> regulated utility</w:t>
      </w:r>
      <w:r w:rsidRPr="002C207B">
        <w:rPr>
          <w:rFonts w:cs="Arial"/>
          <w:szCs w:val="22"/>
        </w:rPr>
        <w:t xml:space="preserve"> operations in its </w:t>
      </w:r>
      <w:r>
        <w:rPr>
          <w:rFonts w:cs="Arial"/>
          <w:szCs w:val="22"/>
        </w:rPr>
        <w:t>Texas</w:t>
      </w:r>
      <w:r w:rsidRPr="002C207B">
        <w:rPr>
          <w:rFonts w:cs="Arial"/>
          <w:szCs w:val="22"/>
        </w:rPr>
        <w:t xml:space="preserve"> service territory.  While S&amp;P would normally look at total consolidated </w:t>
      </w:r>
      <w:proofErr w:type="spellStart"/>
      <w:r>
        <w:rPr>
          <w:rFonts w:cs="Arial"/>
          <w:szCs w:val="22"/>
        </w:rPr>
        <w:t>EPE</w:t>
      </w:r>
      <w:proofErr w:type="spellEnd"/>
      <w:r w:rsidRPr="002C207B">
        <w:rPr>
          <w:rFonts w:cs="Arial"/>
          <w:szCs w:val="22"/>
        </w:rPr>
        <w:t xml:space="preserve"> financial ratios in its credit review process, my investigation in this proceeding is not the same as S&amp;P</w:t>
      </w:r>
      <w:r>
        <w:rPr>
          <w:rFonts w:cs="Arial"/>
          <w:szCs w:val="22"/>
        </w:rPr>
        <w:t>’</w:t>
      </w:r>
      <w:r w:rsidRPr="002C207B">
        <w:rPr>
          <w:rFonts w:cs="Arial"/>
          <w:szCs w:val="22"/>
        </w:rPr>
        <w:t xml:space="preserve">s.  I am attempting to judge the </w:t>
      </w:r>
      <w:r w:rsidRPr="002C207B">
        <w:rPr>
          <w:rFonts w:cs="Arial"/>
          <w:szCs w:val="22"/>
        </w:rPr>
        <w:lastRenderedPageBreak/>
        <w:t xml:space="preserve">reasonableness of my proposed cost of capital for rate-setting in </w:t>
      </w:r>
      <w:proofErr w:type="spellStart"/>
      <w:r w:rsidR="008C4BD5">
        <w:rPr>
          <w:rFonts w:cs="Arial"/>
          <w:szCs w:val="22"/>
        </w:rPr>
        <w:t>EPE’s</w:t>
      </w:r>
      <w:proofErr w:type="spellEnd"/>
      <w:r w:rsidR="008C4BD5">
        <w:rPr>
          <w:rFonts w:cs="Arial"/>
          <w:szCs w:val="22"/>
        </w:rPr>
        <w:t> </w:t>
      </w:r>
      <w:r>
        <w:rPr>
          <w:rFonts w:cs="Arial"/>
          <w:szCs w:val="22"/>
        </w:rPr>
        <w:t>Texas</w:t>
      </w:r>
      <w:r w:rsidRPr="002C207B">
        <w:rPr>
          <w:rFonts w:cs="Arial"/>
          <w:szCs w:val="22"/>
        </w:rPr>
        <w:t xml:space="preserve"> regulated utility operations.  Hence, I am attempting to determine whether my proposed rate of return will in turn support cash flow metrics, balance sheet strength, and earnings that will support an investment grade bond rating and </w:t>
      </w:r>
      <w:proofErr w:type="spellStart"/>
      <w:r>
        <w:rPr>
          <w:rFonts w:cs="Arial"/>
          <w:szCs w:val="22"/>
        </w:rPr>
        <w:t>EPE’</w:t>
      </w:r>
      <w:r w:rsidRPr="002C207B">
        <w:rPr>
          <w:rFonts w:cs="Arial"/>
          <w:szCs w:val="22"/>
        </w:rPr>
        <w:t>s</w:t>
      </w:r>
      <w:proofErr w:type="spellEnd"/>
      <w:r w:rsidRPr="002C207B">
        <w:rPr>
          <w:rFonts w:cs="Arial"/>
          <w:szCs w:val="22"/>
        </w:rPr>
        <w:t xml:space="preserve"> financial integrity.</w:t>
      </w:r>
    </w:p>
    <w:p w14:paraId="77FDE74F" w14:textId="77777777" w:rsidR="00685365" w:rsidRPr="002C207B" w:rsidRDefault="00685365" w:rsidP="00685365">
      <w:pPr>
        <w:keepNext/>
        <w:keepLines/>
        <w:suppressLineNumbers/>
        <w:spacing w:line="480" w:lineRule="auto"/>
        <w:ind w:left="720" w:hanging="720"/>
        <w:jc w:val="both"/>
        <w:rPr>
          <w:rFonts w:cs="Arial"/>
          <w:caps/>
          <w:szCs w:val="22"/>
        </w:rPr>
      </w:pPr>
    </w:p>
    <w:p w14:paraId="629FAAAD" w14:textId="77777777" w:rsidR="00685365" w:rsidRPr="002C207B" w:rsidRDefault="00685365" w:rsidP="00685365">
      <w:pPr>
        <w:keepNext/>
        <w:spacing w:line="480" w:lineRule="auto"/>
        <w:ind w:left="720" w:hanging="720"/>
        <w:jc w:val="both"/>
        <w:rPr>
          <w:rFonts w:cs="Arial"/>
          <w:b/>
          <w:caps/>
          <w:szCs w:val="22"/>
        </w:rPr>
      </w:pPr>
      <w:r>
        <w:rPr>
          <w:rFonts w:cs="Arial"/>
          <w:b/>
          <w:caps/>
          <w:szCs w:val="22"/>
        </w:rPr>
        <w:t>Q</w:t>
      </w:r>
      <w:r>
        <w:rPr>
          <w:rFonts w:cs="Arial"/>
          <w:b/>
          <w:caps/>
          <w:szCs w:val="22"/>
        </w:rPr>
        <w:tab/>
        <w:t>Did you include any Off-</w:t>
      </w:r>
      <w:r w:rsidRPr="002C207B">
        <w:rPr>
          <w:rFonts w:cs="Arial"/>
          <w:b/>
          <w:caps/>
          <w:szCs w:val="22"/>
        </w:rPr>
        <w:t>balance sheet debt (</w:t>
      </w:r>
      <w:r>
        <w:rPr>
          <w:rFonts w:cs="Arial"/>
          <w:b/>
          <w:caps/>
          <w:szCs w:val="22"/>
        </w:rPr>
        <w:t>“</w:t>
      </w:r>
      <w:r w:rsidRPr="002C207B">
        <w:rPr>
          <w:rFonts w:cs="Arial"/>
          <w:b/>
          <w:caps/>
          <w:szCs w:val="22"/>
        </w:rPr>
        <w:t>OBS</w:t>
      </w:r>
      <w:r>
        <w:rPr>
          <w:rFonts w:cs="Arial"/>
          <w:b/>
          <w:caps/>
          <w:szCs w:val="22"/>
        </w:rPr>
        <w:t>”</w:t>
      </w:r>
      <w:r w:rsidRPr="002C207B">
        <w:rPr>
          <w:rFonts w:cs="Arial"/>
          <w:b/>
          <w:caps/>
          <w:szCs w:val="22"/>
        </w:rPr>
        <w:t>) debt equivalents?</w:t>
      </w:r>
    </w:p>
    <w:p w14:paraId="22638BB0" w14:textId="354F8A55" w:rsidR="00685365" w:rsidRDefault="00685365" w:rsidP="00685365">
      <w:pPr>
        <w:spacing w:line="480" w:lineRule="auto"/>
        <w:ind w:left="720" w:hanging="720"/>
        <w:jc w:val="both"/>
        <w:rPr>
          <w:rFonts w:cs="Arial"/>
          <w:szCs w:val="22"/>
        </w:rPr>
      </w:pPr>
      <w:r w:rsidRPr="002C207B">
        <w:rPr>
          <w:rFonts w:cs="Arial"/>
          <w:szCs w:val="22"/>
        </w:rPr>
        <w:t>A</w:t>
      </w:r>
      <w:r w:rsidRPr="002C207B">
        <w:rPr>
          <w:rFonts w:cs="Arial"/>
          <w:szCs w:val="22"/>
        </w:rPr>
        <w:tab/>
      </w:r>
      <w:r>
        <w:rPr>
          <w:rFonts w:cs="Arial"/>
          <w:szCs w:val="22"/>
        </w:rPr>
        <w:t>No.  The Company indicated that it is not aware of it having any OBS by any of its credit rating agencies.</w:t>
      </w:r>
      <w:r>
        <w:rPr>
          <w:rStyle w:val="FootnoteReference"/>
          <w:rFonts w:cs="Arial"/>
          <w:szCs w:val="22"/>
        </w:rPr>
        <w:footnoteReference w:id="42"/>
      </w:r>
    </w:p>
    <w:p w14:paraId="5FF2946F" w14:textId="77777777" w:rsidR="00685365" w:rsidRPr="007114B7" w:rsidRDefault="00685365" w:rsidP="00685365">
      <w:pPr>
        <w:suppressLineNumbers/>
        <w:spacing w:line="480" w:lineRule="auto"/>
        <w:ind w:left="720" w:hanging="720"/>
        <w:jc w:val="both"/>
        <w:rPr>
          <w:color w:val="000000"/>
        </w:rPr>
      </w:pPr>
    </w:p>
    <w:p w14:paraId="78355AAF" w14:textId="77777777" w:rsidR="00685365" w:rsidRPr="002C207B" w:rsidRDefault="00685365" w:rsidP="00685365">
      <w:pPr>
        <w:keepNext/>
        <w:keepLines/>
        <w:spacing w:line="480" w:lineRule="auto"/>
        <w:ind w:left="720" w:hanging="720"/>
        <w:jc w:val="both"/>
        <w:rPr>
          <w:rFonts w:cs="Arial"/>
          <w:b/>
          <w:caps/>
          <w:szCs w:val="22"/>
        </w:rPr>
      </w:pPr>
      <w:r w:rsidRPr="002C207B">
        <w:rPr>
          <w:rFonts w:cs="Arial"/>
          <w:b/>
          <w:caps/>
          <w:szCs w:val="22"/>
        </w:rPr>
        <w:t>Q</w:t>
      </w:r>
      <w:r w:rsidRPr="002C207B">
        <w:rPr>
          <w:rFonts w:cs="Arial"/>
          <w:b/>
          <w:caps/>
          <w:szCs w:val="22"/>
        </w:rPr>
        <w:tab/>
        <w:t xml:space="preserve">Please describe the results of this credit metric analysis as it relates to </w:t>
      </w:r>
      <w:proofErr w:type="spellStart"/>
      <w:r>
        <w:rPr>
          <w:rFonts w:cs="Arial"/>
          <w:b/>
          <w:caps/>
          <w:szCs w:val="22"/>
        </w:rPr>
        <w:t>EPE’</w:t>
      </w:r>
      <w:r w:rsidRPr="002C207B">
        <w:rPr>
          <w:rFonts w:cs="Arial"/>
          <w:b/>
          <w:caps/>
          <w:szCs w:val="22"/>
        </w:rPr>
        <w:t>s</w:t>
      </w:r>
      <w:proofErr w:type="spellEnd"/>
      <w:r w:rsidRPr="002C207B">
        <w:rPr>
          <w:rFonts w:cs="Arial"/>
          <w:b/>
          <w:caps/>
          <w:szCs w:val="22"/>
        </w:rPr>
        <w:t xml:space="preserve"> </w:t>
      </w:r>
      <w:r>
        <w:rPr>
          <w:rFonts w:cs="Arial"/>
          <w:b/>
          <w:szCs w:val="22"/>
        </w:rPr>
        <w:t>REGULATED</w:t>
      </w:r>
      <w:r>
        <w:rPr>
          <w:rFonts w:cs="Arial"/>
          <w:szCs w:val="22"/>
        </w:rPr>
        <w:t xml:space="preserve"> </w:t>
      </w:r>
      <w:r w:rsidRPr="002C207B">
        <w:rPr>
          <w:rFonts w:cs="Arial"/>
          <w:b/>
          <w:caps/>
          <w:szCs w:val="22"/>
        </w:rPr>
        <w:t>operations.</w:t>
      </w:r>
    </w:p>
    <w:p w14:paraId="31E4EF26" w14:textId="77777777" w:rsidR="00685365" w:rsidRPr="007114B7" w:rsidRDefault="00685365" w:rsidP="00685365">
      <w:pPr>
        <w:spacing w:line="480" w:lineRule="auto"/>
        <w:ind w:left="720" w:hanging="720"/>
        <w:jc w:val="both"/>
      </w:pPr>
      <w:r w:rsidRPr="002C207B">
        <w:rPr>
          <w:rFonts w:cs="Arial"/>
          <w:szCs w:val="22"/>
        </w:rPr>
        <w:t>A</w:t>
      </w:r>
      <w:r w:rsidRPr="002C207B">
        <w:rPr>
          <w:rFonts w:cs="Arial"/>
          <w:szCs w:val="22"/>
        </w:rPr>
        <w:tab/>
      </w:r>
      <w:r w:rsidRPr="007114B7">
        <w:t xml:space="preserve">The S&amp;P financial metric calculations for </w:t>
      </w:r>
      <w:proofErr w:type="spellStart"/>
      <w:r>
        <w:t>EPE</w:t>
      </w:r>
      <w:proofErr w:type="spellEnd"/>
      <w:r w:rsidRPr="007114B7">
        <w:t xml:space="preserve"> at a </w:t>
      </w:r>
      <w:r>
        <w:rPr>
          <w:bCs/>
        </w:rPr>
        <w:t>9.20</w:t>
      </w:r>
      <w:r w:rsidRPr="007114B7">
        <w:t xml:space="preserve">% return are developed on </w:t>
      </w:r>
      <w:r w:rsidRPr="00E92E03">
        <w:t>Exhibit MPG-19, page 1</w:t>
      </w:r>
      <w:r w:rsidRPr="007114B7">
        <w:t xml:space="preserve">.  The credit metrics produced below, with </w:t>
      </w:r>
      <w:proofErr w:type="spellStart"/>
      <w:r>
        <w:t>EPE’</w:t>
      </w:r>
      <w:r w:rsidRPr="007114B7">
        <w:t>s</w:t>
      </w:r>
      <w:proofErr w:type="spellEnd"/>
      <w:r w:rsidRPr="007114B7">
        <w:t xml:space="preserve"> financial risk profile from S&amp;P of </w:t>
      </w:r>
      <w:r>
        <w:t>“Significant”</w:t>
      </w:r>
      <w:r w:rsidRPr="007114B7">
        <w:t xml:space="preserve"> and business risk profile of </w:t>
      </w:r>
      <w:r>
        <w:t>“Strong</w:t>
      </w:r>
      <w:r w:rsidRPr="007114B7">
        <w:t>,</w:t>
      </w:r>
      <w:r>
        <w:t>”</w:t>
      </w:r>
      <w:r w:rsidRPr="007114B7">
        <w:t xml:space="preserve"> will be used to assess the strength of the credit metrics based on </w:t>
      </w:r>
      <w:proofErr w:type="spellStart"/>
      <w:r>
        <w:t>EPE’</w:t>
      </w:r>
      <w:r w:rsidRPr="007114B7">
        <w:t>s</w:t>
      </w:r>
      <w:proofErr w:type="spellEnd"/>
      <w:r w:rsidRPr="007114B7">
        <w:t xml:space="preserve"> retail op</w:t>
      </w:r>
      <w:r>
        <w:t>erations in the state of Texas</w:t>
      </w:r>
      <w:r w:rsidRPr="007114B7">
        <w:t>.</w:t>
      </w:r>
    </w:p>
    <w:p w14:paraId="36B75D25" w14:textId="719927AD" w:rsidR="00685365" w:rsidRPr="007114B7" w:rsidRDefault="00685365" w:rsidP="00685365">
      <w:pPr>
        <w:spacing w:line="480" w:lineRule="auto"/>
        <w:ind w:left="720" w:firstLine="720"/>
        <w:jc w:val="both"/>
      </w:pPr>
      <w:r w:rsidRPr="007114B7">
        <w:t>The adjusted debt rati</w:t>
      </w:r>
      <w:r>
        <w:t>o for credit metric purposes at the Company’s</w:t>
      </w:r>
      <w:r w:rsidRPr="007114B7">
        <w:t xml:space="preserve"> proposed capital structure is </w:t>
      </w:r>
      <w:r>
        <w:t>51.8</w:t>
      </w:r>
      <w:r w:rsidRPr="007114B7">
        <w:t xml:space="preserve">%, which is </w:t>
      </w:r>
      <w:r>
        <w:t>lower than</w:t>
      </w:r>
      <w:r w:rsidRPr="007114B7">
        <w:t xml:space="preserve"> the </w:t>
      </w:r>
      <w:r>
        <w:t>adjusted industry median debt ratio for BBB</w:t>
      </w:r>
      <w:r w:rsidRPr="007114B7">
        <w:t xml:space="preserve"> rated</w:t>
      </w:r>
      <w:r>
        <w:t xml:space="preserve"> utilities of 54.2%, as shown on page 4 of </w:t>
      </w:r>
      <w:r w:rsidRPr="00E92E03">
        <w:t>Exhibit MPG-19</w:t>
      </w:r>
      <w:r>
        <w:t>.  A lower debt ratio indicates, all else equal, less financial risk.</w:t>
      </w:r>
    </w:p>
    <w:p w14:paraId="337D3433" w14:textId="77777777" w:rsidR="00685365" w:rsidRPr="007114B7" w:rsidRDefault="00685365" w:rsidP="00685365">
      <w:pPr>
        <w:spacing w:line="480" w:lineRule="auto"/>
        <w:ind w:left="720" w:hanging="720"/>
        <w:jc w:val="both"/>
      </w:pPr>
      <w:r w:rsidRPr="007114B7">
        <w:tab/>
      </w:r>
      <w:r w:rsidRPr="007114B7">
        <w:tab/>
        <w:t xml:space="preserve">Based on an equity return of </w:t>
      </w:r>
      <w:r>
        <w:rPr>
          <w:bCs/>
        </w:rPr>
        <w:t>9.20</w:t>
      </w:r>
      <w:r w:rsidRPr="007114B7">
        <w:t xml:space="preserve">% and the </w:t>
      </w:r>
      <w:r>
        <w:t>Company’s proposed</w:t>
      </w:r>
      <w:r w:rsidRPr="007114B7">
        <w:t xml:space="preserve"> common equity ratio of </w:t>
      </w:r>
      <w:r>
        <w:t>51.0</w:t>
      </w:r>
      <w:r w:rsidRPr="007114B7">
        <w:t xml:space="preserve">%, </w:t>
      </w:r>
      <w:proofErr w:type="spellStart"/>
      <w:r>
        <w:t>EPE</w:t>
      </w:r>
      <w:proofErr w:type="spellEnd"/>
      <w:r w:rsidRPr="007114B7">
        <w:t xml:space="preserve"> will be provided an opportunity to produce a Debt to </w:t>
      </w:r>
      <w:r w:rsidRPr="007114B7">
        <w:lastRenderedPageBreak/>
        <w:t>Earnings Before Interest, Taxes, Depreciation and Amortization (</w:t>
      </w:r>
      <w:r>
        <w:t>“</w:t>
      </w:r>
      <w:r w:rsidRPr="007114B7">
        <w:t>EBITDA</w:t>
      </w:r>
      <w:r>
        <w:t>”</w:t>
      </w:r>
      <w:r w:rsidRPr="007114B7">
        <w:t xml:space="preserve">) ratio of </w:t>
      </w:r>
      <w:r>
        <w:rPr>
          <w:bCs/>
        </w:rPr>
        <w:t>4.1</w:t>
      </w:r>
      <w:r w:rsidRPr="007114B7">
        <w:rPr>
          <w:bCs/>
        </w:rPr>
        <w:t>x</w:t>
      </w:r>
      <w:r w:rsidRPr="007114B7">
        <w:t xml:space="preserve">.  This is </w:t>
      </w:r>
      <w:r>
        <w:t>within</w:t>
      </w:r>
      <w:r w:rsidRPr="007114B7">
        <w:t xml:space="preserve"> S&amp;P</w:t>
      </w:r>
      <w:r>
        <w:t>’</w:t>
      </w:r>
      <w:r w:rsidRPr="007114B7">
        <w:t xml:space="preserve">s </w:t>
      </w:r>
      <w:r>
        <w:t>“Significant” guideline range of 3.5x to 4</w:t>
      </w:r>
      <w:r w:rsidRPr="007114B7">
        <w:t>.5x</w:t>
      </w:r>
      <w:r>
        <w:t>.</w:t>
      </w:r>
      <w:r w:rsidRPr="007114B7">
        <w:rPr>
          <w:vertAlign w:val="superscript"/>
        </w:rPr>
        <w:footnoteReference w:id="43"/>
      </w:r>
    </w:p>
    <w:p w14:paraId="6548679C" w14:textId="77777777" w:rsidR="00685365" w:rsidRDefault="00685365" w:rsidP="00685365">
      <w:pPr>
        <w:spacing w:line="480" w:lineRule="auto"/>
        <w:ind w:left="720" w:firstLine="720"/>
        <w:jc w:val="both"/>
      </w:pPr>
      <w:proofErr w:type="spellStart"/>
      <w:r>
        <w:t>EPE’</w:t>
      </w:r>
      <w:r w:rsidRPr="007114B7">
        <w:t>s</w:t>
      </w:r>
      <w:proofErr w:type="spellEnd"/>
      <w:r w:rsidRPr="007114B7">
        <w:t xml:space="preserve"> retail utility operations </w:t>
      </w:r>
      <w:proofErr w:type="spellStart"/>
      <w:r w:rsidRPr="007114B7">
        <w:t>FFO</w:t>
      </w:r>
      <w:proofErr w:type="spellEnd"/>
      <w:r w:rsidRPr="007114B7">
        <w:t xml:space="preserve"> to total debt coverage at a </w:t>
      </w:r>
      <w:r>
        <w:rPr>
          <w:bCs/>
        </w:rPr>
        <w:t>9.20</w:t>
      </w:r>
      <w:r w:rsidRPr="007114B7">
        <w:t xml:space="preserve">% equity return and </w:t>
      </w:r>
      <w:r>
        <w:t>51.0</w:t>
      </w:r>
      <w:r w:rsidRPr="007114B7">
        <w:t xml:space="preserve">% equity ratio is </w:t>
      </w:r>
      <w:r>
        <w:t>17</w:t>
      </w:r>
      <w:r w:rsidRPr="007114B7">
        <w:t xml:space="preserve">%, </w:t>
      </w:r>
      <w:r>
        <w:t>which is within S&amp;P’s “Significant” metric guideline range of 13% to 23</w:t>
      </w:r>
      <w:r w:rsidRPr="007114B7">
        <w:t xml:space="preserve">%.  </w:t>
      </w:r>
      <w:r>
        <w:t>T</w:t>
      </w:r>
      <w:r w:rsidRPr="007114B7">
        <w:t>his</w:t>
      </w:r>
      <w:r>
        <w:t xml:space="preserve"> ratio is again within the</w:t>
      </w:r>
      <w:r w:rsidRPr="007114B7">
        <w:t xml:space="preserve"> </w:t>
      </w:r>
      <w:proofErr w:type="spellStart"/>
      <w:r w:rsidRPr="007114B7">
        <w:t>FFO</w:t>
      </w:r>
      <w:proofErr w:type="spellEnd"/>
      <w:r w:rsidRPr="007114B7">
        <w:t xml:space="preserve">/total debt </w:t>
      </w:r>
      <w:r>
        <w:t>range that</w:t>
      </w:r>
      <w:r w:rsidRPr="007114B7">
        <w:t xml:space="preserve"> will support </w:t>
      </w:r>
      <w:proofErr w:type="spellStart"/>
      <w:r>
        <w:t>EPE’</w:t>
      </w:r>
      <w:r w:rsidRPr="007114B7">
        <w:t>s</w:t>
      </w:r>
      <w:proofErr w:type="spellEnd"/>
      <w:r w:rsidRPr="007114B7">
        <w:t xml:space="preserve"> </w:t>
      </w:r>
      <w:r>
        <w:t xml:space="preserve">credit rating.  </w:t>
      </w:r>
    </w:p>
    <w:p w14:paraId="25BBB8C5" w14:textId="77777777" w:rsidR="00685365" w:rsidRDefault="00685365" w:rsidP="00685365">
      <w:pPr>
        <w:spacing w:line="480" w:lineRule="auto"/>
        <w:ind w:left="720" w:firstLine="720"/>
        <w:jc w:val="both"/>
      </w:pPr>
      <w:r>
        <w:t xml:space="preserve">I conclude that </w:t>
      </w:r>
      <w:proofErr w:type="spellStart"/>
      <w:r>
        <w:t>EPE’s</w:t>
      </w:r>
      <w:proofErr w:type="spellEnd"/>
      <w:r>
        <w:t xml:space="preserve"> core credit metrics ratios based on the Company’s proposed capital structure and my return on equity will support its investment grade credit rating of BBB, or stronger.</w:t>
      </w:r>
    </w:p>
    <w:p w14:paraId="2DAC2307" w14:textId="77777777" w:rsidR="00685365" w:rsidRPr="00ED4C86" w:rsidRDefault="00685365" w:rsidP="00685365">
      <w:pPr>
        <w:keepNext/>
        <w:keepLines/>
        <w:suppressLineNumbers/>
        <w:spacing w:line="480" w:lineRule="auto"/>
        <w:ind w:left="720" w:hanging="720"/>
        <w:jc w:val="both"/>
        <w:rPr>
          <w:rFonts w:cs="Arial"/>
          <w:u w:val="single"/>
        </w:rPr>
      </w:pPr>
    </w:p>
    <w:p w14:paraId="3FC885A1" w14:textId="77777777" w:rsidR="00685365" w:rsidRPr="002C207B" w:rsidRDefault="00685365" w:rsidP="00685365">
      <w:pPr>
        <w:keepNext/>
        <w:spacing w:line="480" w:lineRule="auto"/>
        <w:ind w:left="720" w:hanging="720"/>
        <w:jc w:val="both"/>
        <w:rPr>
          <w:rFonts w:cs="Arial"/>
          <w:b/>
          <w:caps/>
          <w:szCs w:val="22"/>
        </w:rPr>
      </w:pPr>
      <w:r w:rsidRPr="002C207B">
        <w:rPr>
          <w:rFonts w:cs="Arial"/>
          <w:b/>
          <w:caps/>
          <w:szCs w:val="22"/>
        </w:rPr>
        <w:t>Q</w:t>
      </w:r>
      <w:r w:rsidRPr="002C207B">
        <w:rPr>
          <w:rFonts w:cs="Arial"/>
          <w:b/>
          <w:caps/>
          <w:szCs w:val="22"/>
        </w:rPr>
        <w:tab/>
        <w:t xml:space="preserve">Does this financial integrity assessment support your recommended overall rate of return for </w:t>
      </w:r>
      <w:proofErr w:type="spellStart"/>
      <w:r>
        <w:rPr>
          <w:rFonts w:cs="Arial"/>
          <w:b/>
          <w:caps/>
          <w:szCs w:val="22"/>
        </w:rPr>
        <w:t>EPE</w:t>
      </w:r>
      <w:proofErr w:type="spellEnd"/>
      <w:r w:rsidRPr="002C207B">
        <w:rPr>
          <w:rFonts w:cs="Arial"/>
          <w:b/>
          <w:caps/>
          <w:szCs w:val="22"/>
        </w:rPr>
        <w:t>?</w:t>
      </w:r>
    </w:p>
    <w:p w14:paraId="0ABB5346" w14:textId="13996F51" w:rsidR="00685365" w:rsidRDefault="00685365" w:rsidP="00685365">
      <w:pPr>
        <w:spacing w:line="480" w:lineRule="auto"/>
        <w:ind w:left="720" w:hanging="720"/>
        <w:jc w:val="both"/>
        <w:rPr>
          <w:rFonts w:cs="Arial"/>
          <w:szCs w:val="22"/>
        </w:rPr>
      </w:pPr>
      <w:r w:rsidRPr="002C207B">
        <w:rPr>
          <w:rFonts w:cs="Arial"/>
          <w:szCs w:val="22"/>
        </w:rPr>
        <w:t>A</w:t>
      </w:r>
      <w:r w:rsidRPr="002C207B">
        <w:rPr>
          <w:rFonts w:cs="Arial"/>
          <w:szCs w:val="22"/>
        </w:rPr>
        <w:tab/>
        <w:t xml:space="preserve">Yes.  As noted above, I believe my return on equity </w:t>
      </w:r>
      <w:r>
        <w:rPr>
          <w:rFonts w:cs="Arial"/>
          <w:szCs w:val="22"/>
        </w:rPr>
        <w:t xml:space="preserve">and </w:t>
      </w:r>
      <w:r w:rsidR="008C4BD5">
        <w:rPr>
          <w:rFonts w:cs="Arial"/>
          <w:szCs w:val="22"/>
        </w:rPr>
        <w:t xml:space="preserve">the Company’s </w:t>
      </w:r>
      <w:r>
        <w:rPr>
          <w:rFonts w:cs="Arial"/>
          <w:szCs w:val="22"/>
        </w:rPr>
        <w:t>proposed capital structure represent</w:t>
      </w:r>
      <w:r w:rsidRPr="002C207B">
        <w:rPr>
          <w:rFonts w:cs="Arial"/>
          <w:szCs w:val="22"/>
        </w:rPr>
        <w:t xml:space="preserve"> fair compensation in today</w:t>
      </w:r>
      <w:r>
        <w:rPr>
          <w:rFonts w:cs="Arial"/>
          <w:szCs w:val="22"/>
        </w:rPr>
        <w:t>’</w:t>
      </w:r>
      <w:r w:rsidRPr="002C207B">
        <w:rPr>
          <w:rFonts w:cs="Arial"/>
          <w:szCs w:val="22"/>
        </w:rPr>
        <w:t xml:space="preserve">s very low capital market costs, and as outlined above, my overall rate of return will provide </w:t>
      </w:r>
      <w:proofErr w:type="spellStart"/>
      <w:r>
        <w:rPr>
          <w:rFonts w:cs="Arial"/>
          <w:szCs w:val="22"/>
        </w:rPr>
        <w:t>EPE</w:t>
      </w:r>
      <w:proofErr w:type="spellEnd"/>
      <w:r w:rsidRPr="002C207B">
        <w:rPr>
          <w:rFonts w:cs="Arial"/>
          <w:szCs w:val="22"/>
        </w:rPr>
        <w:t xml:space="preserve"> an opportunity to earn credit metrics that will support its bond rating.  </w:t>
      </w:r>
    </w:p>
    <w:p w14:paraId="4F76597A" w14:textId="77777777" w:rsidR="00685365" w:rsidRPr="002C207B" w:rsidRDefault="00685365" w:rsidP="00685365">
      <w:pPr>
        <w:suppressLineNumbers/>
        <w:spacing w:line="480" w:lineRule="auto"/>
        <w:ind w:left="720" w:hanging="720"/>
        <w:jc w:val="both"/>
        <w:rPr>
          <w:rFonts w:cs="Arial"/>
          <w:szCs w:val="22"/>
        </w:rPr>
      </w:pPr>
    </w:p>
    <w:p w14:paraId="0A538E3E" w14:textId="77777777" w:rsidR="00685365" w:rsidRPr="002C207B" w:rsidRDefault="00685365" w:rsidP="00685365">
      <w:pPr>
        <w:pStyle w:val="Heading1"/>
      </w:pPr>
      <w:bookmarkStart w:id="92" w:name="_Toc63936868"/>
      <w:bookmarkStart w:id="93" w:name="_Toc85028737"/>
      <w:r>
        <w:t>V</w:t>
      </w:r>
      <w:r w:rsidRPr="002C207B">
        <w:t xml:space="preserve">.  RESPONSE TO </w:t>
      </w:r>
      <w:proofErr w:type="spellStart"/>
      <w:r>
        <w:t>EPE</w:t>
      </w:r>
      <w:proofErr w:type="spellEnd"/>
      <w:r w:rsidRPr="002C207B">
        <w:t xml:space="preserve"> WITNESS MS. NELSON</w:t>
      </w:r>
      <w:bookmarkEnd w:id="92"/>
      <w:bookmarkEnd w:id="93"/>
      <w:r w:rsidRPr="002C207B">
        <w:t xml:space="preserve"> </w:t>
      </w:r>
    </w:p>
    <w:p w14:paraId="428489BC" w14:textId="77777777" w:rsidR="00685365" w:rsidRPr="002C207B" w:rsidRDefault="00685365" w:rsidP="00685365">
      <w:pPr>
        <w:keepNext/>
        <w:keepLines/>
        <w:spacing w:line="480" w:lineRule="auto"/>
        <w:ind w:left="720" w:hanging="720"/>
        <w:jc w:val="both"/>
        <w:rPr>
          <w:rFonts w:cs="Arial"/>
          <w:b/>
          <w:caps/>
          <w:szCs w:val="22"/>
        </w:rPr>
      </w:pPr>
      <w:r w:rsidRPr="002C207B">
        <w:rPr>
          <w:rFonts w:cs="Arial"/>
          <w:b/>
          <w:caps/>
          <w:szCs w:val="22"/>
        </w:rPr>
        <w:t>Q</w:t>
      </w:r>
      <w:r w:rsidRPr="002C207B">
        <w:rPr>
          <w:rFonts w:cs="Arial"/>
          <w:b/>
          <w:caps/>
          <w:szCs w:val="22"/>
        </w:rPr>
        <w:tab/>
        <w:t xml:space="preserve">WHAT RETURN ON COMMON EQUITY IS </w:t>
      </w:r>
      <w:proofErr w:type="spellStart"/>
      <w:r>
        <w:rPr>
          <w:rFonts w:cs="Arial"/>
          <w:b/>
          <w:caps/>
          <w:szCs w:val="22"/>
        </w:rPr>
        <w:t>EPE</w:t>
      </w:r>
      <w:proofErr w:type="spellEnd"/>
      <w:r w:rsidRPr="002C207B">
        <w:rPr>
          <w:rFonts w:cs="Arial"/>
          <w:b/>
          <w:caps/>
          <w:szCs w:val="22"/>
        </w:rPr>
        <w:t xml:space="preserve"> PROPOSING FOR THIS PROCEEDING?</w:t>
      </w:r>
    </w:p>
    <w:p w14:paraId="71A4C763" w14:textId="77777777" w:rsidR="00685365" w:rsidRPr="002C207B" w:rsidRDefault="00685365" w:rsidP="00685365">
      <w:pPr>
        <w:tabs>
          <w:tab w:val="left" w:pos="720"/>
        </w:tabs>
        <w:overflowPunct w:val="0"/>
        <w:autoSpaceDE w:val="0"/>
        <w:autoSpaceDN w:val="0"/>
        <w:adjustRightInd w:val="0"/>
        <w:spacing w:line="480" w:lineRule="auto"/>
        <w:ind w:left="720" w:hanging="720"/>
        <w:jc w:val="both"/>
        <w:textAlignment w:val="baseline"/>
        <w:rPr>
          <w:rFonts w:cs="Arial"/>
          <w:szCs w:val="22"/>
        </w:rPr>
      </w:pPr>
      <w:r w:rsidRPr="002C207B">
        <w:rPr>
          <w:rFonts w:cs="Arial"/>
          <w:szCs w:val="22"/>
        </w:rPr>
        <w:t>A</w:t>
      </w:r>
      <w:r w:rsidRPr="002C207B">
        <w:rPr>
          <w:rFonts w:cs="Arial"/>
          <w:szCs w:val="22"/>
        </w:rPr>
        <w:tab/>
        <w:t xml:space="preserve">Ms. Nelson recommends a return on equity in the range of </w:t>
      </w:r>
      <w:r>
        <w:rPr>
          <w:rFonts w:cs="Arial"/>
          <w:szCs w:val="22"/>
        </w:rPr>
        <w:t>9.75%</w:t>
      </w:r>
      <w:r w:rsidRPr="002C207B">
        <w:rPr>
          <w:rFonts w:cs="Arial"/>
          <w:szCs w:val="22"/>
        </w:rPr>
        <w:t xml:space="preserve"> to </w:t>
      </w:r>
      <w:r>
        <w:rPr>
          <w:rFonts w:cs="Arial"/>
          <w:szCs w:val="22"/>
        </w:rPr>
        <w:t>10.75</w:t>
      </w:r>
      <w:r w:rsidRPr="002C207B">
        <w:rPr>
          <w:rFonts w:cs="Arial"/>
          <w:szCs w:val="22"/>
        </w:rPr>
        <w:t xml:space="preserve">% based on her market-based model results.  She concludes </w:t>
      </w:r>
      <w:r>
        <w:rPr>
          <w:rFonts w:cs="Arial"/>
          <w:szCs w:val="22"/>
        </w:rPr>
        <w:t>that a return on equity of 10.30</w:t>
      </w:r>
      <w:r w:rsidRPr="002C207B">
        <w:rPr>
          <w:rFonts w:cs="Arial"/>
          <w:szCs w:val="22"/>
        </w:rPr>
        <w:t xml:space="preserve">% is reasonable.  Her recommendation reflects her assessment of the current capital market </w:t>
      </w:r>
      <w:r w:rsidRPr="002C207B">
        <w:rPr>
          <w:rFonts w:cs="Arial"/>
          <w:szCs w:val="22"/>
        </w:rPr>
        <w:lastRenderedPageBreak/>
        <w:t xml:space="preserve">conditions and </w:t>
      </w:r>
      <w:proofErr w:type="spellStart"/>
      <w:r>
        <w:rPr>
          <w:rFonts w:cs="Arial"/>
          <w:szCs w:val="22"/>
        </w:rPr>
        <w:t>EPE’s</w:t>
      </w:r>
      <w:proofErr w:type="spellEnd"/>
      <w:r w:rsidRPr="002C207B">
        <w:rPr>
          <w:rFonts w:cs="Arial"/>
          <w:szCs w:val="22"/>
        </w:rPr>
        <w:t xml:space="preserve"> business risks relative to the companies included in her proxy group.</w:t>
      </w:r>
      <w:r>
        <w:rPr>
          <w:rFonts w:cs="Arial"/>
          <w:szCs w:val="22"/>
          <w:vertAlign w:val="superscript"/>
        </w:rPr>
        <w:footnoteReference w:id="44"/>
      </w:r>
    </w:p>
    <w:p w14:paraId="598215DA" w14:textId="77777777" w:rsidR="00685365" w:rsidRPr="002C207B" w:rsidRDefault="00685365" w:rsidP="00685365">
      <w:pPr>
        <w:keepNext/>
        <w:keepLines/>
        <w:suppressLineNumbers/>
        <w:spacing w:line="480" w:lineRule="auto"/>
        <w:ind w:left="720" w:hanging="720"/>
        <w:jc w:val="both"/>
        <w:rPr>
          <w:rFonts w:cs="Arial"/>
          <w:caps/>
          <w:szCs w:val="22"/>
        </w:rPr>
      </w:pPr>
    </w:p>
    <w:p w14:paraId="6E8D33D2" w14:textId="77777777" w:rsidR="00685365" w:rsidRPr="002C207B" w:rsidRDefault="00685365" w:rsidP="00685365">
      <w:pPr>
        <w:keepNext/>
        <w:spacing w:line="480" w:lineRule="auto"/>
        <w:ind w:left="720" w:hanging="720"/>
        <w:jc w:val="both"/>
        <w:rPr>
          <w:rFonts w:cs="Arial"/>
          <w:b/>
          <w:bCs/>
          <w:caps/>
          <w:szCs w:val="22"/>
        </w:rPr>
      </w:pPr>
      <w:r w:rsidRPr="002C207B">
        <w:rPr>
          <w:rFonts w:cs="Arial"/>
          <w:b/>
          <w:bCs/>
          <w:caps/>
          <w:szCs w:val="22"/>
        </w:rPr>
        <w:t>Q</w:t>
      </w:r>
      <w:r w:rsidRPr="002C207B">
        <w:rPr>
          <w:rFonts w:cs="Arial"/>
          <w:b/>
          <w:bCs/>
          <w:caps/>
          <w:szCs w:val="22"/>
        </w:rPr>
        <w:tab/>
        <w:t>ARE MS. NELSON</w:t>
      </w:r>
      <w:r>
        <w:rPr>
          <w:rFonts w:cs="Arial"/>
          <w:b/>
          <w:bCs/>
          <w:caps/>
          <w:szCs w:val="22"/>
        </w:rPr>
        <w:t>’</w:t>
      </w:r>
      <w:r w:rsidRPr="002C207B">
        <w:rPr>
          <w:rFonts w:cs="Arial"/>
          <w:b/>
          <w:bCs/>
          <w:caps/>
          <w:szCs w:val="22"/>
        </w:rPr>
        <w:t>S RETURN ON EQUITY ESTIMATES REASONABLE?</w:t>
      </w:r>
    </w:p>
    <w:p w14:paraId="3A09E125" w14:textId="77777777" w:rsidR="00685365" w:rsidRPr="002C207B" w:rsidRDefault="00685365" w:rsidP="00685365">
      <w:pPr>
        <w:overflowPunct w:val="0"/>
        <w:autoSpaceDE w:val="0"/>
        <w:autoSpaceDN w:val="0"/>
        <w:adjustRightInd w:val="0"/>
        <w:spacing w:line="480" w:lineRule="auto"/>
        <w:ind w:left="728" w:hanging="728"/>
        <w:jc w:val="both"/>
        <w:textAlignment w:val="baseline"/>
        <w:rPr>
          <w:rFonts w:cs="Arial"/>
          <w:szCs w:val="22"/>
        </w:rPr>
      </w:pPr>
      <w:r w:rsidRPr="002C207B">
        <w:rPr>
          <w:rFonts w:cs="Arial"/>
          <w:szCs w:val="22"/>
        </w:rPr>
        <w:t>A</w:t>
      </w:r>
      <w:r w:rsidRPr="002C207B">
        <w:rPr>
          <w:rFonts w:cs="Arial"/>
          <w:szCs w:val="22"/>
        </w:rPr>
        <w:tab/>
        <w:t>No.  Ms. Nelson</w:t>
      </w:r>
      <w:r>
        <w:rPr>
          <w:rFonts w:cs="Arial"/>
          <w:szCs w:val="22"/>
        </w:rPr>
        <w:t>’</w:t>
      </w:r>
      <w:r w:rsidRPr="002C207B">
        <w:rPr>
          <w:rFonts w:cs="Arial"/>
          <w:szCs w:val="22"/>
        </w:rPr>
        <w:t>s estimated return on equity is overstated and should be rejected.  Ms. Nelson</w:t>
      </w:r>
      <w:r>
        <w:rPr>
          <w:rFonts w:cs="Arial"/>
          <w:szCs w:val="22"/>
        </w:rPr>
        <w:t>’</w:t>
      </w:r>
      <w:r w:rsidRPr="002C207B">
        <w:rPr>
          <w:rFonts w:cs="Arial"/>
          <w:szCs w:val="22"/>
        </w:rPr>
        <w:t xml:space="preserve">s analyses produce excessive results for various reasons, including the following: </w:t>
      </w:r>
    </w:p>
    <w:p w14:paraId="280F2AF9" w14:textId="77777777" w:rsidR="00685365" w:rsidRPr="002C207B" w:rsidRDefault="00685365" w:rsidP="00940116">
      <w:pPr>
        <w:numPr>
          <w:ilvl w:val="0"/>
          <w:numId w:val="8"/>
        </w:numPr>
        <w:overflowPunct w:val="0"/>
        <w:autoSpaceDE w:val="0"/>
        <w:autoSpaceDN w:val="0"/>
        <w:adjustRightInd w:val="0"/>
        <w:spacing w:after="240"/>
        <w:ind w:left="1440" w:right="360"/>
        <w:jc w:val="both"/>
        <w:textAlignment w:val="baseline"/>
        <w:rPr>
          <w:rFonts w:cs="Arial"/>
          <w:szCs w:val="22"/>
        </w:rPr>
      </w:pPr>
      <w:r w:rsidRPr="002C207B">
        <w:rPr>
          <w:rFonts w:cs="Arial"/>
          <w:szCs w:val="22"/>
        </w:rPr>
        <w:t>Her constant growth DCF results are based on unsustainably high growth rates;</w:t>
      </w:r>
    </w:p>
    <w:p w14:paraId="68F066D3" w14:textId="77777777" w:rsidR="00685365" w:rsidRDefault="00685365" w:rsidP="00940116">
      <w:pPr>
        <w:numPr>
          <w:ilvl w:val="0"/>
          <w:numId w:val="8"/>
        </w:numPr>
        <w:overflowPunct w:val="0"/>
        <w:autoSpaceDE w:val="0"/>
        <w:autoSpaceDN w:val="0"/>
        <w:adjustRightInd w:val="0"/>
        <w:spacing w:after="240"/>
        <w:ind w:left="1440" w:right="360"/>
        <w:jc w:val="both"/>
        <w:textAlignment w:val="baseline"/>
        <w:rPr>
          <w:rFonts w:cs="Arial"/>
          <w:szCs w:val="22"/>
        </w:rPr>
      </w:pPr>
      <w:r>
        <w:rPr>
          <w:rFonts w:cs="Arial"/>
          <w:szCs w:val="22"/>
        </w:rPr>
        <w:t>Her</w:t>
      </w:r>
      <w:r w:rsidRPr="002C207B">
        <w:rPr>
          <w:rFonts w:cs="Arial"/>
          <w:szCs w:val="22"/>
        </w:rPr>
        <w:t xml:space="preserve"> </w:t>
      </w:r>
      <w:r>
        <w:rPr>
          <w:rFonts w:cs="Arial"/>
          <w:szCs w:val="22"/>
        </w:rPr>
        <w:t>application of the quarterly DCF overstates the fair return on equity</w:t>
      </w:r>
      <w:r w:rsidRPr="002C207B">
        <w:rPr>
          <w:rFonts w:cs="Arial"/>
          <w:szCs w:val="22"/>
        </w:rPr>
        <w:t>;</w:t>
      </w:r>
      <w:r>
        <w:rPr>
          <w:rFonts w:cs="Arial"/>
          <w:szCs w:val="22"/>
        </w:rPr>
        <w:t xml:space="preserve"> </w:t>
      </w:r>
    </w:p>
    <w:p w14:paraId="69A59AB8" w14:textId="77777777" w:rsidR="00685365" w:rsidRPr="002C207B" w:rsidRDefault="00685365" w:rsidP="00940116">
      <w:pPr>
        <w:numPr>
          <w:ilvl w:val="0"/>
          <w:numId w:val="8"/>
        </w:numPr>
        <w:overflowPunct w:val="0"/>
        <w:autoSpaceDE w:val="0"/>
        <w:autoSpaceDN w:val="0"/>
        <w:adjustRightInd w:val="0"/>
        <w:spacing w:after="240"/>
        <w:ind w:left="1440" w:right="360"/>
        <w:jc w:val="both"/>
        <w:textAlignment w:val="baseline"/>
        <w:rPr>
          <w:rFonts w:cs="Arial"/>
          <w:szCs w:val="22"/>
        </w:rPr>
      </w:pPr>
      <w:r w:rsidRPr="002C207B">
        <w:rPr>
          <w:rFonts w:cs="Arial"/>
          <w:szCs w:val="22"/>
        </w:rPr>
        <w:t xml:space="preserve">Her </w:t>
      </w:r>
      <w:proofErr w:type="spellStart"/>
      <w:r w:rsidRPr="002C207B">
        <w:rPr>
          <w:rFonts w:cs="Arial"/>
          <w:szCs w:val="22"/>
        </w:rPr>
        <w:t>CAPM</w:t>
      </w:r>
      <w:proofErr w:type="spellEnd"/>
      <w:r w:rsidRPr="002C207B">
        <w:rPr>
          <w:rFonts w:cs="Arial"/>
          <w:szCs w:val="22"/>
        </w:rPr>
        <w:t xml:space="preserve"> is based on inflated market risk premiums;</w:t>
      </w:r>
    </w:p>
    <w:p w14:paraId="112D7E88" w14:textId="77777777" w:rsidR="00685365" w:rsidRPr="002C207B" w:rsidRDefault="00685365" w:rsidP="00940116">
      <w:pPr>
        <w:numPr>
          <w:ilvl w:val="0"/>
          <w:numId w:val="8"/>
        </w:numPr>
        <w:overflowPunct w:val="0"/>
        <w:autoSpaceDE w:val="0"/>
        <w:autoSpaceDN w:val="0"/>
        <w:adjustRightInd w:val="0"/>
        <w:spacing w:after="240"/>
        <w:ind w:left="1440" w:right="360"/>
        <w:jc w:val="both"/>
        <w:textAlignment w:val="baseline"/>
        <w:rPr>
          <w:rFonts w:cs="Arial"/>
          <w:szCs w:val="22"/>
        </w:rPr>
      </w:pPr>
      <w:r>
        <w:rPr>
          <w:rFonts w:cs="Arial"/>
          <w:szCs w:val="22"/>
        </w:rPr>
        <w:t>Her</w:t>
      </w:r>
      <w:r w:rsidRPr="002C207B">
        <w:rPr>
          <w:rFonts w:cs="Arial"/>
          <w:szCs w:val="22"/>
        </w:rPr>
        <w:t xml:space="preserve"> Empirical </w:t>
      </w:r>
      <w:proofErr w:type="spellStart"/>
      <w:r w:rsidRPr="002C207B">
        <w:rPr>
          <w:rFonts w:cs="Arial"/>
          <w:szCs w:val="22"/>
        </w:rPr>
        <w:t>CAPM</w:t>
      </w:r>
      <w:proofErr w:type="spellEnd"/>
      <w:r w:rsidRPr="002C207B">
        <w:rPr>
          <w:rFonts w:cs="Arial"/>
          <w:szCs w:val="22"/>
        </w:rPr>
        <w:t xml:space="preserve"> (</w:t>
      </w:r>
      <w:r>
        <w:rPr>
          <w:rFonts w:cs="Arial"/>
          <w:szCs w:val="22"/>
        </w:rPr>
        <w:t>“</w:t>
      </w:r>
      <w:proofErr w:type="spellStart"/>
      <w:r w:rsidRPr="002C207B">
        <w:rPr>
          <w:rFonts w:cs="Arial"/>
          <w:szCs w:val="22"/>
        </w:rPr>
        <w:t>ECAPM</w:t>
      </w:r>
      <w:proofErr w:type="spellEnd"/>
      <w:r>
        <w:rPr>
          <w:rFonts w:cs="Arial"/>
          <w:szCs w:val="22"/>
        </w:rPr>
        <w:t>”</w:t>
      </w:r>
      <w:r w:rsidRPr="002C207B">
        <w:rPr>
          <w:rFonts w:cs="Arial"/>
          <w:szCs w:val="22"/>
        </w:rPr>
        <w:t>) is based on a flawed methodology;</w:t>
      </w:r>
    </w:p>
    <w:p w14:paraId="195BDA49" w14:textId="77777777" w:rsidR="00685365" w:rsidRPr="002C207B" w:rsidRDefault="00685365" w:rsidP="00940116">
      <w:pPr>
        <w:numPr>
          <w:ilvl w:val="0"/>
          <w:numId w:val="8"/>
        </w:numPr>
        <w:overflowPunct w:val="0"/>
        <w:autoSpaceDE w:val="0"/>
        <w:autoSpaceDN w:val="0"/>
        <w:adjustRightInd w:val="0"/>
        <w:spacing w:after="240"/>
        <w:ind w:left="1440" w:right="360"/>
        <w:jc w:val="both"/>
        <w:textAlignment w:val="baseline"/>
        <w:rPr>
          <w:rFonts w:cs="Arial"/>
          <w:szCs w:val="22"/>
        </w:rPr>
      </w:pPr>
      <w:r w:rsidRPr="002C207B">
        <w:rPr>
          <w:rFonts w:cs="Arial"/>
          <w:szCs w:val="22"/>
        </w:rPr>
        <w:t xml:space="preserve">Her Bond Yield Plus Risk Premium studies are based on inflated utility equity risk premiums; </w:t>
      </w:r>
    </w:p>
    <w:p w14:paraId="73D1E2CE" w14:textId="77777777" w:rsidR="00685365" w:rsidRPr="002C207B" w:rsidRDefault="00685365" w:rsidP="00940116">
      <w:pPr>
        <w:numPr>
          <w:ilvl w:val="0"/>
          <w:numId w:val="8"/>
        </w:numPr>
        <w:overflowPunct w:val="0"/>
        <w:autoSpaceDE w:val="0"/>
        <w:autoSpaceDN w:val="0"/>
        <w:adjustRightInd w:val="0"/>
        <w:spacing w:after="240"/>
        <w:ind w:left="1440" w:right="360"/>
        <w:jc w:val="both"/>
        <w:textAlignment w:val="baseline"/>
        <w:rPr>
          <w:rFonts w:cs="Arial"/>
          <w:szCs w:val="22"/>
        </w:rPr>
      </w:pPr>
      <w:r w:rsidRPr="002C207B">
        <w:rPr>
          <w:rFonts w:cs="Arial"/>
          <w:szCs w:val="22"/>
        </w:rPr>
        <w:t xml:space="preserve">Both </w:t>
      </w:r>
      <w:r>
        <w:rPr>
          <w:rFonts w:cs="Arial"/>
          <w:szCs w:val="22"/>
        </w:rPr>
        <w:t>her</w:t>
      </w:r>
      <w:r w:rsidRPr="002C207B">
        <w:rPr>
          <w:rFonts w:cs="Arial"/>
          <w:szCs w:val="22"/>
        </w:rPr>
        <w:t xml:space="preserve"> </w:t>
      </w:r>
      <w:proofErr w:type="spellStart"/>
      <w:r w:rsidRPr="002C207B">
        <w:rPr>
          <w:rFonts w:cs="Arial"/>
          <w:szCs w:val="22"/>
        </w:rPr>
        <w:t>CAPM</w:t>
      </w:r>
      <w:proofErr w:type="spellEnd"/>
      <w:r w:rsidRPr="002C207B">
        <w:rPr>
          <w:rFonts w:cs="Arial"/>
          <w:szCs w:val="22"/>
        </w:rPr>
        <w:t xml:space="preserve"> and </w:t>
      </w:r>
      <w:r>
        <w:rPr>
          <w:rFonts w:cs="Arial"/>
          <w:szCs w:val="22"/>
        </w:rPr>
        <w:t>Risk Premium</w:t>
      </w:r>
      <w:r w:rsidRPr="002C207B">
        <w:rPr>
          <w:rFonts w:cs="Arial"/>
          <w:szCs w:val="22"/>
        </w:rPr>
        <w:t xml:space="preserve"> studies are based on </w:t>
      </w:r>
      <w:r>
        <w:rPr>
          <w:rFonts w:cs="Arial"/>
          <w:szCs w:val="22"/>
        </w:rPr>
        <w:t xml:space="preserve">long-term </w:t>
      </w:r>
      <w:r w:rsidRPr="002C207B">
        <w:rPr>
          <w:rFonts w:cs="Arial"/>
          <w:szCs w:val="22"/>
        </w:rPr>
        <w:t>projected interest</w:t>
      </w:r>
      <w:r>
        <w:rPr>
          <w:rFonts w:cs="Arial"/>
          <w:szCs w:val="22"/>
        </w:rPr>
        <w:t xml:space="preserve"> rates that are highly uncertain, and do not reflect the time period where rates set in this proceeding will be in effect.</w:t>
      </w:r>
    </w:p>
    <w:p w14:paraId="55F6F331" w14:textId="77777777" w:rsidR="00685365" w:rsidRPr="002C207B" w:rsidRDefault="00685365" w:rsidP="00685365">
      <w:pPr>
        <w:suppressLineNumbers/>
        <w:spacing w:line="480" w:lineRule="auto"/>
        <w:ind w:left="1080"/>
        <w:jc w:val="both"/>
        <w:rPr>
          <w:szCs w:val="22"/>
        </w:rPr>
      </w:pPr>
    </w:p>
    <w:p w14:paraId="7DDC9077" w14:textId="77777777" w:rsidR="00685365" w:rsidRPr="002C207B" w:rsidRDefault="00685365" w:rsidP="00685365">
      <w:pPr>
        <w:keepNext/>
        <w:keepLines/>
        <w:spacing w:line="480" w:lineRule="auto"/>
        <w:ind w:left="720" w:hanging="720"/>
        <w:jc w:val="both"/>
        <w:rPr>
          <w:rFonts w:cs="Arial"/>
          <w:b/>
          <w:bCs/>
          <w:caps/>
          <w:szCs w:val="22"/>
        </w:rPr>
      </w:pPr>
      <w:r w:rsidRPr="002C207B">
        <w:rPr>
          <w:rFonts w:cs="Arial"/>
          <w:b/>
          <w:bCs/>
          <w:caps/>
          <w:szCs w:val="22"/>
        </w:rPr>
        <w:t>Q</w:t>
      </w:r>
      <w:r w:rsidRPr="002C207B">
        <w:rPr>
          <w:rFonts w:cs="Arial"/>
          <w:b/>
          <w:bCs/>
          <w:caps/>
          <w:szCs w:val="22"/>
        </w:rPr>
        <w:tab/>
        <w:t>PLEASE COMPARE YOUR RECOMMENDED RETURN ON EQUITY WITH MS. NELSON</w:t>
      </w:r>
      <w:r>
        <w:rPr>
          <w:rFonts w:cs="Arial"/>
          <w:b/>
          <w:bCs/>
          <w:caps/>
          <w:szCs w:val="22"/>
        </w:rPr>
        <w:t>’</w:t>
      </w:r>
      <w:r w:rsidRPr="002C207B">
        <w:rPr>
          <w:rFonts w:cs="Arial"/>
          <w:b/>
          <w:bCs/>
          <w:caps/>
          <w:szCs w:val="22"/>
        </w:rPr>
        <w:t>S RETURN ON EQUITY ESTIMATES.</w:t>
      </w:r>
    </w:p>
    <w:p w14:paraId="119F1421" w14:textId="77777777" w:rsidR="00685365" w:rsidRPr="002C207B" w:rsidRDefault="00685365" w:rsidP="00685365">
      <w:pPr>
        <w:overflowPunct w:val="0"/>
        <w:autoSpaceDE w:val="0"/>
        <w:autoSpaceDN w:val="0"/>
        <w:adjustRightInd w:val="0"/>
        <w:spacing w:line="480" w:lineRule="auto"/>
        <w:ind w:left="728" w:hanging="728"/>
        <w:jc w:val="both"/>
        <w:textAlignment w:val="baseline"/>
        <w:rPr>
          <w:rFonts w:cs="Arial"/>
          <w:szCs w:val="22"/>
        </w:rPr>
      </w:pPr>
      <w:r w:rsidRPr="002C207B">
        <w:rPr>
          <w:rFonts w:cs="Arial"/>
          <w:szCs w:val="22"/>
        </w:rPr>
        <w:t>A</w:t>
      </w:r>
      <w:r w:rsidRPr="002C207B">
        <w:rPr>
          <w:rFonts w:cs="Arial"/>
          <w:szCs w:val="22"/>
        </w:rPr>
        <w:tab/>
        <w:t>Ms. Nelson</w:t>
      </w:r>
      <w:r>
        <w:rPr>
          <w:rFonts w:cs="Arial"/>
          <w:szCs w:val="22"/>
        </w:rPr>
        <w:t>’</w:t>
      </w:r>
      <w:r w:rsidRPr="002C207B">
        <w:rPr>
          <w:rFonts w:cs="Arial"/>
          <w:szCs w:val="22"/>
        </w:rPr>
        <w:t xml:space="preserve">s return on equity estimates are summarized in Table </w:t>
      </w:r>
      <w:r>
        <w:rPr>
          <w:rFonts w:cs="Arial"/>
          <w:szCs w:val="22"/>
        </w:rPr>
        <w:t>8</w:t>
      </w:r>
      <w:r w:rsidRPr="002C207B">
        <w:rPr>
          <w:rFonts w:cs="Arial"/>
          <w:szCs w:val="22"/>
        </w:rPr>
        <w:t xml:space="preserve"> below.  In the </w:t>
      </w:r>
      <w:r>
        <w:rPr>
          <w:rFonts w:cs="Arial"/>
          <w:szCs w:val="22"/>
        </w:rPr>
        <w:t>“</w:t>
      </w:r>
      <w:r w:rsidRPr="002C207B">
        <w:rPr>
          <w:rFonts w:cs="Arial"/>
          <w:szCs w:val="22"/>
        </w:rPr>
        <w:t>Adjusted</w:t>
      </w:r>
      <w:r>
        <w:rPr>
          <w:rFonts w:cs="Arial"/>
          <w:szCs w:val="22"/>
        </w:rPr>
        <w:t>”</w:t>
      </w:r>
      <w:r w:rsidRPr="002C207B">
        <w:rPr>
          <w:rFonts w:cs="Arial"/>
          <w:szCs w:val="22"/>
        </w:rPr>
        <w:t xml:space="preserve"> Column 2, I show the results with prudent and sound adjustments to correct the flaws referenced above.  With such adjustments to Ms. Nelson</w:t>
      </w:r>
      <w:r>
        <w:rPr>
          <w:rFonts w:cs="Arial"/>
          <w:szCs w:val="22"/>
        </w:rPr>
        <w:t>’</w:t>
      </w:r>
      <w:r w:rsidRPr="002C207B">
        <w:rPr>
          <w:rFonts w:cs="Arial"/>
          <w:szCs w:val="22"/>
        </w:rPr>
        <w:t>s proxy group</w:t>
      </w:r>
      <w:r>
        <w:rPr>
          <w:rFonts w:cs="Arial"/>
          <w:szCs w:val="22"/>
        </w:rPr>
        <w:t>’</w:t>
      </w:r>
      <w:r w:rsidRPr="002C207B">
        <w:rPr>
          <w:rFonts w:cs="Arial"/>
          <w:szCs w:val="22"/>
        </w:rPr>
        <w:t xml:space="preserve">s DCF, </w:t>
      </w:r>
      <w:proofErr w:type="spellStart"/>
      <w:r w:rsidRPr="002C207B">
        <w:rPr>
          <w:rFonts w:cs="Arial"/>
          <w:szCs w:val="22"/>
        </w:rPr>
        <w:t>CAPM</w:t>
      </w:r>
      <w:proofErr w:type="spellEnd"/>
      <w:r w:rsidRPr="002C207B">
        <w:rPr>
          <w:rFonts w:cs="Arial"/>
          <w:szCs w:val="22"/>
        </w:rPr>
        <w:t xml:space="preserve">, </w:t>
      </w:r>
      <w:proofErr w:type="spellStart"/>
      <w:r w:rsidRPr="002C207B">
        <w:rPr>
          <w:rFonts w:cs="Arial"/>
          <w:szCs w:val="22"/>
        </w:rPr>
        <w:t>ECAPM</w:t>
      </w:r>
      <w:proofErr w:type="spellEnd"/>
      <w:r w:rsidRPr="002C207B">
        <w:rPr>
          <w:rFonts w:cs="Arial"/>
          <w:szCs w:val="22"/>
        </w:rPr>
        <w:t xml:space="preserve"> and Risk Premium return estimates, Ms. Nelson</w:t>
      </w:r>
      <w:r>
        <w:rPr>
          <w:rFonts w:cs="Arial"/>
          <w:szCs w:val="22"/>
        </w:rPr>
        <w:t>’</w:t>
      </w:r>
      <w:r w:rsidRPr="002C207B">
        <w:rPr>
          <w:rFonts w:cs="Arial"/>
          <w:szCs w:val="22"/>
        </w:rPr>
        <w:t xml:space="preserve">s studies show that my </w:t>
      </w:r>
      <w:r w:rsidRPr="00B315BA">
        <w:rPr>
          <w:rFonts w:cs="Arial"/>
          <w:szCs w:val="22"/>
        </w:rPr>
        <w:t>9.20%</w:t>
      </w:r>
      <w:r w:rsidRPr="002C207B">
        <w:rPr>
          <w:rFonts w:cs="Arial"/>
          <w:szCs w:val="22"/>
        </w:rPr>
        <w:t xml:space="preserve"> recommended return on equity for </w:t>
      </w:r>
      <w:proofErr w:type="spellStart"/>
      <w:r>
        <w:rPr>
          <w:rFonts w:cs="Arial"/>
          <w:szCs w:val="22"/>
        </w:rPr>
        <w:t>EPE</w:t>
      </w:r>
      <w:proofErr w:type="spellEnd"/>
      <w:r w:rsidRPr="002C207B">
        <w:rPr>
          <w:rFonts w:cs="Arial"/>
          <w:szCs w:val="22"/>
        </w:rPr>
        <w:t xml:space="preserve"> is more reasonable and consistent with the current capital market environment.</w:t>
      </w:r>
    </w:p>
    <w:tbl>
      <w:tblPr>
        <w:tblW w:w="87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07"/>
        <w:gridCol w:w="1938"/>
        <w:gridCol w:w="1980"/>
      </w:tblGrid>
      <w:tr w:rsidR="00685365" w14:paraId="18284FEF" w14:textId="77777777" w:rsidTr="0093780B">
        <w:trPr>
          <w:trHeight w:val="516"/>
          <w:jc w:val="center"/>
        </w:trPr>
        <w:tc>
          <w:tcPr>
            <w:tcW w:w="8725" w:type="dxa"/>
            <w:gridSpan w:val="3"/>
          </w:tcPr>
          <w:p w14:paraId="1ED3E2DF" w14:textId="77777777" w:rsidR="00685365" w:rsidRPr="002C207B" w:rsidRDefault="00685365" w:rsidP="00940116">
            <w:pPr>
              <w:tabs>
                <w:tab w:val="left" w:pos="728"/>
                <w:tab w:val="left" w:pos="1430"/>
                <w:tab w:val="left" w:pos="2158"/>
              </w:tabs>
              <w:overflowPunct w:val="0"/>
              <w:autoSpaceDE w:val="0"/>
              <w:autoSpaceDN w:val="0"/>
              <w:adjustRightInd w:val="0"/>
              <w:spacing w:before="120" w:after="120"/>
              <w:jc w:val="center"/>
              <w:textAlignment w:val="baseline"/>
              <w:outlineLvl w:val="8"/>
              <w:rPr>
                <w:rFonts w:cs="Arial"/>
                <w:b/>
                <w:szCs w:val="22"/>
              </w:rPr>
            </w:pPr>
            <w:r w:rsidRPr="002C207B">
              <w:rPr>
                <w:rFonts w:cs="Arial"/>
                <w:b/>
                <w:szCs w:val="22"/>
              </w:rPr>
              <w:lastRenderedPageBreak/>
              <w:t xml:space="preserve">TABLE </w:t>
            </w:r>
            <w:r>
              <w:rPr>
                <w:rFonts w:cs="Arial"/>
                <w:b/>
                <w:szCs w:val="22"/>
              </w:rPr>
              <w:t>8</w:t>
            </w:r>
          </w:p>
          <w:p w14:paraId="41B35749" w14:textId="77777777" w:rsidR="00685365" w:rsidRPr="002C207B" w:rsidRDefault="00685365" w:rsidP="0093780B">
            <w:pPr>
              <w:overflowPunct w:val="0"/>
              <w:autoSpaceDE w:val="0"/>
              <w:autoSpaceDN w:val="0"/>
              <w:adjustRightInd w:val="0"/>
              <w:spacing w:before="120" w:after="120"/>
              <w:ind w:left="734" w:hanging="734"/>
              <w:jc w:val="center"/>
              <w:textAlignment w:val="baseline"/>
              <w:rPr>
                <w:rFonts w:ascii="Times New Roman" w:hAnsi="Times New Roman" w:cs="Arial"/>
                <w:b/>
                <w:sz w:val="24"/>
                <w:szCs w:val="22"/>
                <w:u w:val="single"/>
              </w:rPr>
            </w:pPr>
            <w:r w:rsidRPr="002C207B">
              <w:rPr>
                <w:rFonts w:cs="Arial"/>
                <w:b/>
                <w:szCs w:val="22"/>
                <w:u w:val="single"/>
              </w:rPr>
              <w:t>Nelson</w:t>
            </w:r>
            <w:r>
              <w:rPr>
                <w:rFonts w:cs="Arial"/>
                <w:b/>
                <w:szCs w:val="22"/>
                <w:u w:val="single"/>
              </w:rPr>
              <w:t>’</w:t>
            </w:r>
            <w:r w:rsidRPr="002C207B">
              <w:rPr>
                <w:rFonts w:cs="Arial"/>
                <w:b/>
                <w:szCs w:val="22"/>
                <w:u w:val="single"/>
              </w:rPr>
              <w:t>s Adjusted Return on Equity Estimates</w:t>
            </w:r>
          </w:p>
        </w:tc>
      </w:tr>
      <w:tr w:rsidR="00685365" w14:paraId="2BE67747" w14:textId="77777777" w:rsidTr="0093780B">
        <w:trPr>
          <w:trHeight w:val="269"/>
          <w:jc w:val="center"/>
        </w:trPr>
        <w:tc>
          <w:tcPr>
            <w:tcW w:w="4807" w:type="dxa"/>
          </w:tcPr>
          <w:p w14:paraId="5D8F3114" w14:textId="77777777" w:rsidR="00685365" w:rsidRPr="002C207B" w:rsidRDefault="00685365" w:rsidP="0093780B">
            <w:pPr>
              <w:tabs>
                <w:tab w:val="left" w:pos="728"/>
                <w:tab w:val="left" w:pos="1430"/>
                <w:tab w:val="left" w:pos="2158"/>
              </w:tabs>
              <w:overflowPunct w:val="0"/>
              <w:autoSpaceDE w:val="0"/>
              <w:autoSpaceDN w:val="0"/>
              <w:adjustRightInd w:val="0"/>
              <w:textAlignment w:val="baseline"/>
              <w:outlineLvl w:val="8"/>
              <w:rPr>
                <w:rFonts w:ascii="Times New Roman" w:hAnsi="Times New Roman" w:cs="Arial"/>
                <w:b/>
                <w:sz w:val="24"/>
                <w:szCs w:val="22"/>
                <w:u w:val="single"/>
              </w:rPr>
            </w:pPr>
            <w:r w:rsidRPr="002C207B">
              <w:rPr>
                <w:rFonts w:cs="Arial"/>
                <w:b/>
                <w:szCs w:val="22"/>
                <w:u w:val="single"/>
              </w:rPr>
              <w:t xml:space="preserve">                              Description                                          </w:t>
            </w:r>
          </w:p>
        </w:tc>
        <w:tc>
          <w:tcPr>
            <w:tcW w:w="1938" w:type="dxa"/>
          </w:tcPr>
          <w:p w14:paraId="595AC161"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b/>
                <w:sz w:val="24"/>
                <w:szCs w:val="22"/>
                <w:u w:val="single"/>
              </w:rPr>
            </w:pPr>
            <w:r w:rsidRPr="002C207B">
              <w:rPr>
                <w:rFonts w:cs="Arial"/>
                <w:b/>
                <w:szCs w:val="22"/>
                <w:u w:val="single"/>
              </w:rPr>
              <w:t>Mean</w:t>
            </w:r>
            <w:r>
              <w:rPr>
                <w:rFonts w:cs="Arial"/>
                <w:b/>
                <w:szCs w:val="22"/>
                <w:u w:val="single"/>
              </w:rPr>
              <w:t xml:space="preserve"> / Median</w:t>
            </w:r>
            <w:r w:rsidRPr="002C207B">
              <w:rPr>
                <w:rFonts w:cs="Arial"/>
                <w:b/>
                <w:szCs w:val="22"/>
                <w:vertAlign w:val="superscript"/>
              </w:rPr>
              <w:t>1</w:t>
            </w:r>
          </w:p>
        </w:tc>
        <w:tc>
          <w:tcPr>
            <w:tcW w:w="1980" w:type="dxa"/>
          </w:tcPr>
          <w:p w14:paraId="09B97C69"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b/>
                <w:sz w:val="24"/>
                <w:szCs w:val="22"/>
                <w:u w:val="single"/>
              </w:rPr>
            </w:pPr>
            <w:r w:rsidRPr="002C207B">
              <w:rPr>
                <w:rFonts w:cs="Arial"/>
                <w:b/>
                <w:szCs w:val="22"/>
                <w:u w:val="single"/>
              </w:rPr>
              <w:t>Adjusted</w:t>
            </w:r>
          </w:p>
        </w:tc>
      </w:tr>
      <w:tr w:rsidR="00685365" w14:paraId="5E2B691A" w14:textId="77777777" w:rsidTr="0093780B">
        <w:trPr>
          <w:trHeight w:val="269"/>
          <w:jc w:val="center"/>
        </w:trPr>
        <w:tc>
          <w:tcPr>
            <w:tcW w:w="4807" w:type="dxa"/>
          </w:tcPr>
          <w:p w14:paraId="437A9BEF"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b/>
                <w:sz w:val="24"/>
                <w:szCs w:val="22"/>
                <w:u w:val="single"/>
              </w:rPr>
            </w:pPr>
          </w:p>
        </w:tc>
        <w:tc>
          <w:tcPr>
            <w:tcW w:w="1938" w:type="dxa"/>
          </w:tcPr>
          <w:p w14:paraId="51BD020E"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b/>
                <w:sz w:val="24"/>
                <w:szCs w:val="22"/>
              </w:rPr>
            </w:pPr>
            <w:r w:rsidRPr="002C207B">
              <w:rPr>
                <w:rFonts w:cs="Arial"/>
                <w:b/>
                <w:szCs w:val="22"/>
              </w:rPr>
              <w:t>(1)</w:t>
            </w:r>
          </w:p>
        </w:tc>
        <w:tc>
          <w:tcPr>
            <w:tcW w:w="1980" w:type="dxa"/>
          </w:tcPr>
          <w:p w14:paraId="5B04B1F2"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b/>
                <w:sz w:val="24"/>
                <w:szCs w:val="22"/>
              </w:rPr>
            </w:pPr>
            <w:r w:rsidRPr="002C207B">
              <w:rPr>
                <w:rFonts w:cs="Arial"/>
                <w:b/>
                <w:szCs w:val="22"/>
              </w:rPr>
              <w:t>(2)</w:t>
            </w:r>
          </w:p>
        </w:tc>
      </w:tr>
      <w:tr w:rsidR="00685365" w14:paraId="38879B26" w14:textId="77777777" w:rsidTr="0093780B">
        <w:trPr>
          <w:trHeight w:val="269"/>
          <w:jc w:val="center"/>
        </w:trPr>
        <w:tc>
          <w:tcPr>
            <w:tcW w:w="4807" w:type="dxa"/>
          </w:tcPr>
          <w:p w14:paraId="426C02A1" w14:textId="77777777" w:rsidR="00685365" w:rsidRPr="002C207B" w:rsidRDefault="00685365" w:rsidP="0093780B">
            <w:pPr>
              <w:tabs>
                <w:tab w:val="left" w:pos="728"/>
                <w:tab w:val="left" w:pos="1430"/>
                <w:tab w:val="left" w:pos="2158"/>
              </w:tabs>
              <w:overflowPunct w:val="0"/>
              <w:autoSpaceDE w:val="0"/>
              <w:autoSpaceDN w:val="0"/>
              <w:adjustRightInd w:val="0"/>
              <w:jc w:val="both"/>
              <w:textAlignment w:val="baseline"/>
              <w:rPr>
                <w:rFonts w:ascii="Times New Roman" w:hAnsi="Times New Roman" w:cs="Arial"/>
                <w:b/>
                <w:sz w:val="24"/>
                <w:szCs w:val="22"/>
                <w:u w:val="single"/>
              </w:rPr>
            </w:pPr>
            <w:r w:rsidRPr="002C207B">
              <w:rPr>
                <w:rFonts w:cs="Arial"/>
                <w:szCs w:val="22"/>
                <w:u w:val="single"/>
              </w:rPr>
              <w:t>Constant Growth DCF</w:t>
            </w:r>
          </w:p>
        </w:tc>
        <w:tc>
          <w:tcPr>
            <w:tcW w:w="1938" w:type="dxa"/>
          </w:tcPr>
          <w:p w14:paraId="44ADC1D0"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p>
        </w:tc>
        <w:tc>
          <w:tcPr>
            <w:tcW w:w="1980" w:type="dxa"/>
          </w:tcPr>
          <w:p w14:paraId="58F134E8"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p>
        </w:tc>
      </w:tr>
      <w:tr w:rsidR="00685365" w14:paraId="2D890041" w14:textId="77777777" w:rsidTr="0093780B">
        <w:trPr>
          <w:trHeight w:val="269"/>
          <w:jc w:val="center"/>
        </w:trPr>
        <w:tc>
          <w:tcPr>
            <w:tcW w:w="4807" w:type="dxa"/>
          </w:tcPr>
          <w:p w14:paraId="4557C5BD" w14:textId="77777777" w:rsidR="00685365" w:rsidRPr="002C207B" w:rsidRDefault="00685365" w:rsidP="0093780B">
            <w:pPr>
              <w:tabs>
                <w:tab w:val="left" w:pos="728"/>
                <w:tab w:val="left" w:pos="1430"/>
                <w:tab w:val="left" w:pos="2158"/>
              </w:tabs>
              <w:overflowPunct w:val="0"/>
              <w:autoSpaceDE w:val="0"/>
              <w:autoSpaceDN w:val="0"/>
              <w:adjustRightInd w:val="0"/>
              <w:ind w:left="28"/>
              <w:textAlignment w:val="baseline"/>
              <w:rPr>
                <w:rFonts w:ascii="Times New Roman" w:hAnsi="Times New Roman" w:cs="Arial"/>
                <w:sz w:val="24"/>
                <w:szCs w:val="22"/>
              </w:rPr>
            </w:pPr>
            <w:r w:rsidRPr="002C207B">
              <w:rPr>
                <w:rFonts w:cs="Arial"/>
                <w:szCs w:val="22"/>
              </w:rPr>
              <w:t xml:space="preserve">30-Day Average </w:t>
            </w:r>
          </w:p>
        </w:tc>
        <w:tc>
          <w:tcPr>
            <w:tcW w:w="1938" w:type="dxa"/>
          </w:tcPr>
          <w:p w14:paraId="5349C1B2"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r>
              <w:rPr>
                <w:rFonts w:cs="Arial"/>
                <w:szCs w:val="22"/>
              </w:rPr>
              <w:t>9.43</w:t>
            </w:r>
            <w:r w:rsidRPr="002C207B">
              <w:rPr>
                <w:rFonts w:cs="Arial"/>
                <w:szCs w:val="22"/>
              </w:rPr>
              <w:t>%</w:t>
            </w:r>
          </w:p>
        </w:tc>
        <w:tc>
          <w:tcPr>
            <w:tcW w:w="1980" w:type="dxa"/>
          </w:tcPr>
          <w:p w14:paraId="4F98A1EE"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r>
              <w:rPr>
                <w:rFonts w:cs="Arial"/>
                <w:szCs w:val="22"/>
              </w:rPr>
              <w:t>8.42</w:t>
            </w:r>
            <w:r w:rsidRPr="002C207B">
              <w:rPr>
                <w:rFonts w:cs="Arial"/>
                <w:szCs w:val="22"/>
              </w:rPr>
              <w:t>%</w:t>
            </w:r>
          </w:p>
        </w:tc>
      </w:tr>
      <w:tr w:rsidR="00685365" w14:paraId="180B7245" w14:textId="77777777" w:rsidTr="0093780B">
        <w:trPr>
          <w:trHeight w:val="269"/>
          <w:jc w:val="center"/>
        </w:trPr>
        <w:tc>
          <w:tcPr>
            <w:tcW w:w="4807" w:type="dxa"/>
          </w:tcPr>
          <w:p w14:paraId="7BDB7A74" w14:textId="77777777" w:rsidR="00685365" w:rsidRPr="002C207B" w:rsidRDefault="00685365" w:rsidP="0093780B">
            <w:pPr>
              <w:tabs>
                <w:tab w:val="left" w:pos="728"/>
                <w:tab w:val="left" w:pos="1430"/>
                <w:tab w:val="left" w:pos="2158"/>
              </w:tabs>
              <w:overflowPunct w:val="0"/>
              <w:autoSpaceDE w:val="0"/>
              <w:autoSpaceDN w:val="0"/>
              <w:adjustRightInd w:val="0"/>
              <w:ind w:left="28"/>
              <w:textAlignment w:val="baseline"/>
              <w:rPr>
                <w:rFonts w:ascii="Times New Roman" w:hAnsi="Times New Roman" w:cs="Arial"/>
                <w:sz w:val="24"/>
                <w:szCs w:val="22"/>
              </w:rPr>
            </w:pPr>
            <w:r w:rsidRPr="002C207B">
              <w:rPr>
                <w:rFonts w:cs="Arial"/>
                <w:szCs w:val="22"/>
              </w:rPr>
              <w:t xml:space="preserve">90-Day Average </w:t>
            </w:r>
          </w:p>
        </w:tc>
        <w:tc>
          <w:tcPr>
            <w:tcW w:w="1938" w:type="dxa"/>
          </w:tcPr>
          <w:p w14:paraId="2DF5A0DD"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r>
              <w:rPr>
                <w:rFonts w:cs="Arial"/>
                <w:szCs w:val="22"/>
              </w:rPr>
              <w:t>9.43</w:t>
            </w:r>
            <w:r w:rsidRPr="002C207B">
              <w:rPr>
                <w:rFonts w:cs="Arial"/>
                <w:szCs w:val="22"/>
              </w:rPr>
              <w:t>%</w:t>
            </w:r>
          </w:p>
        </w:tc>
        <w:tc>
          <w:tcPr>
            <w:tcW w:w="1980" w:type="dxa"/>
          </w:tcPr>
          <w:p w14:paraId="43290757" w14:textId="77777777" w:rsidR="00685365" w:rsidRPr="005A4438"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r w:rsidRPr="005A4438">
              <w:rPr>
                <w:rFonts w:cs="Arial"/>
                <w:szCs w:val="22"/>
              </w:rPr>
              <w:t>8.47%</w:t>
            </w:r>
          </w:p>
        </w:tc>
      </w:tr>
      <w:tr w:rsidR="00685365" w14:paraId="64643F96" w14:textId="77777777" w:rsidTr="0093780B">
        <w:trPr>
          <w:trHeight w:val="269"/>
          <w:jc w:val="center"/>
        </w:trPr>
        <w:tc>
          <w:tcPr>
            <w:tcW w:w="4807" w:type="dxa"/>
          </w:tcPr>
          <w:p w14:paraId="0A2B767E" w14:textId="77777777" w:rsidR="00685365" w:rsidRPr="002C207B" w:rsidRDefault="00685365" w:rsidP="0093780B">
            <w:pPr>
              <w:tabs>
                <w:tab w:val="left" w:pos="728"/>
                <w:tab w:val="left" w:pos="1430"/>
                <w:tab w:val="left" w:pos="2158"/>
              </w:tabs>
              <w:overflowPunct w:val="0"/>
              <w:autoSpaceDE w:val="0"/>
              <w:autoSpaceDN w:val="0"/>
              <w:adjustRightInd w:val="0"/>
              <w:ind w:left="28"/>
              <w:textAlignment w:val="baseline"/>
              <w:rPr>
                <w:rFonts w:ascii="Times New Roman" w:hAnsi="Times New Roman" w:cs="Arial"/>
                <w:sz w:val="24"/>
                <w:szCs w:val="22"/>
              </w:rPr>
            </w:pPr>
            <w:r w:rsidRPr="002C207B">
              <w:rPr>
                <w:rFonts w:cs="Arial"/>
                <w:szCs w:val="22"/>
              </w:rPr>
              <w:t xml:space="preserve">180-Day Average </w:t>
            </w:r>
          </w:p>
        </w:tc>
        <w:tc>
          <w:tcPr>
            <w:tcW w:w="1938" w:type="dxa"/>
          </w:tcPr>
          <w:p w14:paraId="406D86CE"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r>
              <w:rPr>
                <w:rFonts w:cs="Arial"/>
                <w:szCs w:val="22"/>
              </w:rPr>
              <w:t>9.52</w:t>
            </w:r>
            <w:r w:rsidRPr="002C207B">
              <w:rPr>
                <w:rFonts w:cs="Arial"/>
                <w:szCs w:val="22"/>
              </w:rPr>
              <w:t>%</w:t>
            </w:r>
          </w:p>
        </w:tc>
        <w:tc>
          <w:tcPr>
            <w:tcW w:w="1980" w:type="dxa"/>
          </w:tcPr>
          <w:p w14:paraId="44D96E2B" w14:textId="77777777" w:rsidR="00685365" w:rsidRPr="005A4438"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r w:rsidRPr="005A4438">
              <w:rPr>
                <w:rFonts w:cs="Arial"/>
                <w:szCs w:val="22"/>
              </w:rPr>
              <w:t>8.51%</w:t>
            </w:r>
          </w:p>
        </w:tc>
      </w:tr>
      <w:tr w:rsidR="00685365" w14:paraId="408F31CF" w14:textId="77777777" w:rsidTr="0093780B">
        <w:trPr>
          <w:trHeight w:val="20"/>
          <w:jc w:val="center"/>
        </w:trPr>
        <w:tc>
          <w:tcPr>
            <w:tcW w:w="4807" w:type="dxa"/>
          </w:tcPr>
          <w:p w14:paraId="74E840C5" w14:textId="77777777" w:rsidR="00685365" w:rsidRPr="002C207B" w:rsidRDefault="00685365" w:rsidP="0093780B">
            <w:pPr>
              <w:tabs>
                <w:tab w:val="left" w:pos="728"/>
                <w:tab w:val="left" w:pos="1430"/>
                <w:tab w:val="left" w:pos="2158"/>
              </w:tabs>
              <w:overflowPunct w:val="0"/>
              <w:autoSpaceDE w:val="0"/>
              <w:autoSpaceDN w:val="0"/>
              <w:adjustRightInd w:val="0"/>
              <w:jc w:val="both"/>
              <w:textAlignment w:val="baseline"/>
              <w:rPr>
                <w:rFonts w:ascii="Times New Roman" w:hAnsi="Times New Roman" w:cs="Arial"/>
                <w:sz w:val="24"/>
                <w:szCs w:val="22"/>
                <w:u w:val="single"/>
              </w:rPr>
            </w:pPr>
          </w:p>
        </w:tc>
        <w:tc>
          <w:tcPr>
            <w:tcW w:w="1938" w:type="dxa"/>
          </w:tcPr>
          <w:p w14:paraId="0D09B942" w14:textId="77777777" w:rsidR="00685365" w:rsidRPr="002C207B" w:rsidRDefault="00685365" w:rsidP="0093780B">
            <w:pPr>
              <w:tabs>
                <w:tab w:val="left" w:pos="728"/>
                <w:tab w:val="left" w:pos="1430"/>
                <w:tab w:val="left" w:pos="2158"/>
              </w:tabs>
              <w:overflowPunct w:val="0"/>
              <w:autoSpaceDE w:val="0"/>
              <w:autoSpaceDN w:val="0"/>
              <w:adjustRightInd w:val="0"/>
              <w:jc w:val="both"/>
              <w:textAlignment w:val="baseline"/>
              <w:rPr>
                <w:rFonts w:ascii="Times New Roman" w:hAnsi="Times New Roman" w:cs="Arial"/>
                <w:sz w:val="24"/>
                <w:szCs w:val="22"/>
                <w:u w:val="single"/>
              </w:rPr>
            </w:pPr>
          </w:p>
        </w:tc>
        <w:tc>
          <w:tcPr>
            <w:tcW w:w="1980" w:type="dxa"/>
          </w:tcPr>
          <w:p w14:paraId="4914DDD6" w14:textId="77777777" w:rsidR="00685365" w:rsidRPr="002C207B" w:rsidRDefault="00685365" w:rsidP="0093780B">
            <w:pPr>
              <w:tabs>
                <w:tab w:val="left" w:pos="728"/>
                <w:tab w:val="left" w:pos="1430"/>
                <w:tab w:val="left" w:pos="2158"/>
              </w:tabs>
              <w:overflowPunct w:val="0"/>
              <w:autoSpaceDE w:val="0"/>
              <w:autoSpaceDN w:val="0"/>
              <w:adjustRightInd w:val="0"/>
              <w:jc w:val="both"/>
              <w:textAlignment w:val="baseline"/>
              <w:rPr>
                <w:rFonts w:ascii="Times New Roman" w:hAnsi="Times New Roman" w:cs="Arial"/>
                <w:sz w:val="24"/>
                <w:szCs w:val="22"/>
                <w:u w:val="single"/>
              </w:rPr>
            </w:pPr>
          </w:p>
        </w:tc>
      </w:tr>
      <w:tr w:rsidR="00685365" w14:paraId="53470EC3" w14:textId="77777777" w:rsidTr="0093780B">
        <w:trPr>
          <w:trHeight w:val="20"/>
          <w:jc w:val="center"/>
        </w:trPr>
        <w:tc>
          <w:tcPr>
            <w:tcW w:w="4807" w:type="dxa"/>
          </w:tcPr>
          <w:p w14:paraId="5076AE96" w14:textId="77777777" w:rsidR="00685365" w:rsidRPr="002C207B" w:rsidRDefault="00685365" w:rsidP="0093780B">
            <w:pPr>
              <w:tabs>
                <w:tab w:val="left" w:pos="728"/>
                <w:tab w:val="left" w:pos="1430"/>
                <w:tab w:val="left" w:pos="2158"/>
              </w:tabs>
              <w:overflowPunct w:val="0"/>
              <w:autoSpaceDE w:val="0"/>
              <w:autoSpaceDN w:val="0"/>
              <w:adjustRightInd w:val="0"/>
              <w:jc w:val="both"/>
              <w:textAlignment w:val="baseline"/>
              <w:rPr>
                <w:rFonts w:ascii="Times New Roman" w:hAnsi="Times New Roman" w:cs="Arial"/>
                <w:sz w:val="24"/>
                <w:szCs w:val="22"/>
                <w:u w:val="single"/>
              </w:rPr>
            </w:pPr>
            <w:r w:rsidRPr="002C207B">
              <w:rPr>
                <w:rFonts w:cs="Arial"/>
                <w:szCs w:val="22"/>
                <w:u w:val="single"/>
              </w:rPr>
              <w:t>Quarterly Growth DCF</w:t>
            </w:r>
          </w:p>
        </w:tc>
        <w:tc>
          <w:tcPr>
            <w:tcW w:w="1938" w:type="dxa"/>
          </w:tcPr>
          <w:p w14:paraId="741488E8" w14:textId="77777777" w:rsidR="00685365" w:rsidRPr="002C207B" w:rsidRDefault="00685365" w:rsidP="0093780B">
            <w:pPr>
              <w:tabs>
                <w:tab w:val="left" w:pos="728"/>
                <w:tab w:val="left" w:pos="1430"/>
                <w:tab w:val="left" w:pos="2158"/>
              </w:tabs>
              <w:overflowPunct w:val="0"/>
              <w:autoSpaceDE w:val="0"/>
              <w:autoSpaceDN w:val="0"/>
              <w:adjustRightInd w:val="0"/>
              <w:jc w:val="both"/>
              <w:textAlignment w:val="baseline"/>
              <w:rPr>
                <w:rFonts w:ascii="Times New Roman" w:hAnsi="Times New Roman" w:cs="Arial"/>
                <w:sz w:val="24"/>
                <w:szCs w:val="22"/>
                <w:u w:val="single"/>
              </w:rPr>
            </w:pPr>
          </w:p>
        </w:tc>
        <w:tc>
          <w:tcPr>
            <w:tcW w:w="1980" w:type="dxa"/>
          </w:tcPr>
          <w:p w14:paraId="52D51302" w14:textId="77777777" w:rsidR="00685365" w:rsidRPr="002C207B" w:rsidRDefault="00685365" w:rsidP="0093780B">
            <w:pPr>
              <w:tabs>
                <w:tab w:val="left" w:pos="728"/>
                <w:tab w:val="left" w:pos="1430"/>
                <w:tab w:val="left" w:pos="2158"/>
              </w:tabs>
              <w:overflowPunct w:val="0"/>
              <w:autoSpaceDE w:val="0"/>
              <w:autoSpaceDN w:val="0"/>
              <w:adjustRightInd w:val="0"/>
              <w:jc w:val="both"/>
              <w:textAlignment w:val="baseline"/>
              <w:rPr>
                <w:rFonts w:ascii="Times New Roman" w:hAnsi="Times New Roman" w:cs="Arial"/>
                <w:sz w:val="24"/>
                <w:szCs w:val="22"/>
                <w:u w:val="single"/>
              </w:rPr>
            </w:pPr>
          </w:p>
        </w:tc>
      </w:tr>
      <w:tr w:rsidR="00685365" w14:paraId="30792EFB" w14:textId="77777777" w:rsidTr="0093780B">
        <w:trPr>
          <w:trHeight w:val="20"/>
          <w:jc w:val="center"/>
        </w:trPr>
        <w:tc>
          <w:tcPr>
            <w:tcW w:w="4807" w:type="dxa"/>
          </w:tcPr>
          <w:p w14:paraId="680E4347" w14:textId="77777777" w:rsidR="00685365" w:rsidRPr="002C207B" w:rsidRDefault="00685365" w:rsidP="0093780B">
            <w:pPr>
              <w:tabs>
                <w:tab w:val="left" w:pos="728"/>
                <w:tab w:val="left" w:pos="1430"/>
                <w:tab w:val="left" w:pos="2158"/>
              </w:tabs>
              <w:overflowPunct w:val="0"/>
              <w:autoSpaceDE w:val="0"/>
              <w:autoSpaceDN w:val="0"/>
              <w:adjustRightInd w:val="0"/>
              <w:jc w:val="both"/>
              <w:textAlignment w:val="baseline"/>
              <w:rPr>
                <w:rFonts w:ascii="Times New Roman" w:hAnsi="Times New Roman" w:cs="Arial"/>
                <w:sz w:val="24"/>
                <w:szCs w:val="22"/>
                <w:u w:val="single"/>
              </w:rPr>
            </w:pPr>
            <w:r w:rsidRPr="002C207B">
              <w:rPr>
                <w:rFonts w:cs="Arial"/>
                <w:szCs w:val="22"/>
              </w:rPr>
              <w:t xml:space="preserve">30-Day Average </w:t>
            </w:r>
          </w:p>
        </w:tc>
        <w:tc>
          <w:tcPr>
            <w:tcW w:w="1938" w:type="dxa"/>
          </w:tcPr>
          <w:p w14:paraId="0637DEFA"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rPr>
                <w:rFonts w:ascii="Times New Roman" w:hAnsi="Times New Roman" w:cs="Arial"/>
                <w:sz w:val="24"/>
                <w:szCs w:val="22"/>
                <w:u w:val="single"/>
              </w:rPr>
            </w:pPr>
            <w:r>
              <w:rPr>
                <w:rFonts w:cs="Arial"/>
                <w:szCs w:val="22"/>
              </w:rPr>
              <w:t>9.57</w:t>
            </w:r>
            <w:r w:rsidRPr="002C207B">
              <w:rPr>
                <w:rFonts w:cs="Arial"/>
                <w:szCs w:val="22"/>
              </w:rPr>
              <w:t>%</w:t>
            </w:r>
          </w:p>
        </w:tc>
        <w:tc>
          <w:tcPr>
            <w:tcW w:w="1980" w:type="dxa"/>
          </w:tcPr>
          <w:p w14:paraId="2871CAAE"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r>
              <w:rPr>
                <w:rFonts w:cs="Arial"/>
                <w:szCs w:val="22"/>
              </w:rPr>
              <w:t>8.42</w:t>
            </w:r>
            <w:r w:rsidRPr="002C207B">
              <w:rPr>
                <w:rFonts w:cs="Arial"/>
                <w:szCs w:val="22"/>
              </w:rPr>
              <w:t>%</w:t>
            </w:r>
          </w:p>
        </w:tc>
      </w:tr>
      <w:tr w:rsidR="00685365" w14:paraId="0D640162" w14:textId="77777777" w:rsidTr="0093780B">
        <w:trPr>
          <w:trHeight w:val="20"/>
          <w:jc w:val="center"/>
        </w:trPr>
        <w:tc>
          <w:tcPr>
            <w:tcW w:w="4807" w:type="dxa"/>
          </w:tcPr>
          <w:p w14:paraId="340C2EBF" w14:textId="77777777" w:rsidR="00685365" w:rsidRPr="002C207B" w:rsidRDefault="00685365" w:rsidP="0093780B">
            <w:pPr>
              <w:tabs>
                <w:tab w:val="left" w:pos="728"/>
                <w:tab w:val="left" w:pos="1430"/>
                <w:tab w:val="left" w:pos="2158"/>
              </w:tabs>
              <w:overflowPunct w:val="0"/>
              <w:autoSpaceDE w:val="0"/>
              <w:autoSpaceDN w:val="0"/>
              <w:adjustRightInd w:val="0"/>
              <w:jc w:val="both"/>
              <w:textAlignment w:val="baseline"/>
              <w:rPr>
                <w:rFonts w:ascii="Times New Roman" w:hAnsi="Times New Roman" w:cs="Arial"/>
                <w:sz w:val="24"/>
                <w:szCs w:val="22"/>
                <w:u w:val="single"/>
              </w:rPr>
            </w:pPr>
            <w:r w:rsidRPr="002C207B">
              <w:rPr>
                <w:rFonts w:cs="Arial"/>
                <w:szCs w:val="22"/>
              </w:rPr>
              <w:t xml:space="preserve">90-Day Average </w:t>
            </w:r>
          </w:p>
        </w:tc>
        <w:tc>
          <w:tcPr>
            <w:tcW w:w="1938" w:type="dxa"/>
          </w:tcPr>
          <w:p w14:paraId="526A2DE0"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rPr>
                <w:rFonts w:ascii="Times New Roman" w:hAnsi="Times New Roman" w:cs="Arial"/>
                <w:sz w:val="24"/>
                <w:szCs w:val="22"/>
                <w:u w:val="single"/>
              </w:rPr>
            </w:pPr>
            <w:r>
              <w:rPr>
                <w:rFonts w:cs="Arial"/>
                <w:szCs w:val="22"/>
              </w:rPr>
              <w:t>9.62</w:t>
            </w:r>
            <w:r w:rsidRPr="002C207B">
              <w:rPr>
                <w:rFonts w:cs="Arial"/>
                <w:szCs w:val="22"/>
              </w:rPr>
              <w:t>%</w:t>
            </w:r>
          </w:p>
        </w:tc>
        <w:tc>
          <w:tcPr>
            <w:tcW w:w="1980" w:type="dxa"/>
          </w:tcPr>
          <w:p w14:paraId="4E6ED812" w14:textId="77777777" w:rsidR="00685365" w:rsidRPr="005A4438"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r w:rsidRPr="005A4438">
              <w:rPr>
                <w:rFonts w:cs="Arial"/>
                <w:szCs w:val="22"/>
              </w:rPr>
              <w:t>8.47%</w:t>
            </w:r>
          </w:p>
        </w:tc>
      </w:tr>
      <w:tr w:rsidR="00685365" w14:paraId="183D4222" w14:textId="77777777" w:rsidTr="0093780B">
        <w:trPr>
          <w:trHeight w:val="20"/>
          <w:jc w:val="center"/>
        </w:trPr>
        <w:tc>
          <w:tcPr>
            <w:tcW w:w="4807" w:type="dxa"/>
          </w:tcPr>
          <w:p w14:paraId="5095D415" w14:textId="77777777" w:rsidR="00685365" w:rsidRPr="002C207B" w:rsidRDefault="00685365" w:rsidP="0093780B">
            <w:pPr>
              <w:tabs>
                <w:tab w:val="left" w:pos="728"/>
                <w:tab w:val="left" w:pos="1430"/>
                <w:tab w:val="left" w:pos="2158"/>
              </w:tabs>
              <w:overflowPunct w:val="0"/>
              <w:autoSpaceDE w:val="0"/>
              <w:autoSpaceDN w:val="0"/>
              <w:adjustRightInd w:val="0"/>
              <w:jc w:val="both"/>
              <w:textAlignment w:val="baseline"/>
              <w:rPr>
                <w:rFonts w:ascii="Times New Roman" w:hAnsi="Times New Roman" w:cs="Arial"/>
                <w:sz w:val="24"/>
                <w:szCs w:val="22"/>
                <w:u w:val="single"/>
              </w:rPr>
            </w:pPr>
            <w:r w:rsidRPr="002C207B">
              <w:rPr>
                <w:rFonts w:cs="Arial"/>
                <w:szCs w:val="22"/>
              </w:rPr>
              <w:t xml:space="preserve">180-Day Average </w:t>
            </w:r>
          </w:p>
        </w:tc>
        <w:tc>
          <w:tcPr>
            <w:tcW w:w="1938" w:type="dxa"/>
          </w:tcPr>
          <w:p w14:paraId="1EF60E69"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rPr>
                <w:rFonts w:ascii="Times New Roman" w:hAnsi="Times New Roman" w:cs="Arial"/>
                <w:sz w:val="24"/>
                <w:szCs w:val="22"/>
                <w:u w:val="single"/>
              </w:rPr>
            </w:pPr>
            <w:r>
              <w:rPr>
                <w:rFonts w:cs="Arial"/>
                <w:szCs w:val="22"/>
              </w:rPr>
              <w:t>9.69</w:t>
            </w:r>
            <w:r w:rsidRPr="002C207B">
              <w:rPr>
                <w:rFonts w:cs="Arial"/>
                <w:szCs w:val="22"/>
              </w:rPr>
              <w:t>%</w:t>
            </w:r>
          </w:p>
        </w:tc>
        <w:tc>
          <w:tcPr>
            <w:tcW w:w="1980" w:type="dxa"/>
          </w:tcPr>
          <w:p w14:paraId="60939162" w14:textId="77777777" w:rsidR="00685365" w:rsidRPr="005A4438"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r w:rsidRPr="005A4438">
              <w:rPr>
                <w:rFonts w:cs="Arial"/>
                <w:szCs w:val="22"/>
              </w:rPr>
              <w:t>8.51%</w:t>
            </w:r>
          </w:p>
        </w:tc>
      </w:tr>
      <w:tr w:rsidR="00685365" w14:paraId="33D88105" w14:textId="77777777" w:rsidTr="0093780B">
        <w:trPr>
          <w:trHeight w:val="20"/>
          <w:jc w:val="center"/>
        </w:trPr>
        <w:tc>
          <w:tcPr>
            <w:tcW w:w="4807" w:type="dxa"/>
          </w:tcPr>
          <w:p w14:paraId="011ECA8D" w14:textId="77777777" w:rsidR="00685365" w:rsidRPr="002C207B" w:rsidRDefault="00685365" w:rsidP="0093780B">
            <w:pPr>
              <w:tabs>
                <w:tab w:val="left" w:pos="728"/>
                <w:tab w:val="left" w:pos="1430"/>
                <w:tab w:val="left" w:pos="2158"/>
              </w:tabs>
              <w:overflowPunct w:val="0"/>
              <w:autoSpaceDE w:val="0"/>
              <w:autoSpaceDN w:val="0"/>
              <w:adjustRightInd w:val="0"/>
              <w:jc w:val="both"/>
              <w:textAlignment w:val="baseline"/>
              <w:rPr>
                <w:rFonts w:ascii="Times New Roman" w:hAnsi="Times New Roman" w:cs="Arial"/>
                <w:sz w:val="24"/>
                <w:szCs w:val="22"/>
                <w:u w:val="single"/>
              </w:rPr>
            </w:pPr>
          </w:p>
        </w:tc>
        <w:tc>
          <w:tcPr>
            <w:tcW w:w="1938" w:type="dxa"/>
          </w:tcPr>
          <w:p w14:paraId="154D3F8B" w14:textId="77777777" w:rsidR="00685365" w:rsidRPr="002C207B" w:rsidRDefault="00685365" w:rsidP="0093780B">
            <w:pPr>
              <w:tabs>
                <w:tab w:val="left" w:pos="728"/>
                <w:tab w:val="left" w:pos="1430"/>
                <w:tab w:val="left" w:pos="2158"/>
              </w:tabs>
              <w:overflowPunct w:val="0"/>
              <w:autoSpaceDE w:val="0"/>
              <w:autoSpaceDN w:val="0"/>
              <w:adjustRightInd w:val="0"/>
              <w:jc w:val="both"/>
              <w:textAlignment w:val="baseline"/>
              <w:rPr>
                <w:rFonts w:ascii="Times New Roman" w:hAnsi="Times New Roman" w:cs="Arial"/>
                <w:sz w:val="24"/>
                <w:szCs w:val="22"/>
                <w:u w:val="single"/>
              </w:rPr>
            </w:pPr>
          </w:p>
        </w:tc>
        <w:tc>
          <w:tcPr>
            <w:tcW w:w="1980" w:type="dxa"/>
          </w:tcPr>
          <w:p w14:paraId="4F8B7370" w14:textId="77777777" w:rsidR="00685365" w:rsidRPr="002C207B" w:rsidRDefault="00685365" w:rsidP="0093780B">
            <w:pPr>
              <w:tabs>
                <w:tab w:val="left" w:pos="728"/>
                <w:tab w:val="left" w:pos="1430"/>
                <w:tab w:val="left" w:pos="2158"/>
              </w:tabs>
              <w:overflowPunct w:val="0"/>
              <w:autoSpaceDE w:val="0"/>
              <w:autoSpaceDN w:val="0"/>
              <w:adjustRightInd w:val="0"/>
              <w:jc w:val="both"/>
              <w:textAlignment w:val="baseline"/>
              <w:rPr>
                <w:rFonts w:ascii="Times New Roman" w:hAnsi="Times New Roman" w:cs="Arial"/>
                <w:sz w:val="24"/>
                <w:szCs w:val="22"/>
                <w:highlight w:val="yellow"/>
                <w:u w:val="single"/>
              </w:rPr>
            </w:pPr>
          </w:p>
        </w:tc>
      </w:tr>
      <w:tr w:rsidR="00685365" w14:paraId="3A9D2F87" w14:textId="77777777" w:rsidTr="0093780B">
        <w:trPr>
          <w:trHeight w:val="269"/>
          <w:jc w:val="center"/>
        </w:trPr>
        <w:tc>
          <w:tcPr>
            <w:tcW w:w="8725" w:type="dxa"/>
            <w:gridSpan w:val="3"/>
          </w:tcPr>
          <w:p w14:paraId="13DA5936" w14:textId="77777777" w:rsidR="00685365" w:rsidRPr="002C207B" w:rsidRDefault="00685365" w:rsidP="0093780B">
            <w:pPr>
              <w:tabs>
                <w:tab w:val="left" w:pos="728"/>
                <w:tab w:val="left" w:pos="1430"/>
                <w:tab w:val="left" w:pos="2158"/>
              </w:tabs>
              <w:overflowPunct w:val="0"/>
              <w:autoSpaceDE w:val="0"/>
              <w:autoSpaceDN w:val="0"/>
              <w:adjustRightInd w:val="0"/>
              <w:textAlignment w:val="baseline"/>
              <w:outlineLvl w:val="8"/>
              <w:rPr>
                <w:rFonts w:ascii="Times New Roman" w:hAnsi="Times New Roman" w:cs="Arial"/>
                <w:b/>
                <w:sz w:val="24"/>
                <w:szCs w:val="22"/>
                <w:u w:val="single"/>
              </w:rPr>
            </w:pPr>
            <w:proofErr w:type="spellStart"/>
            <w:r>
              <w:rPr>
                <w:rFonts w:cs="Arial"/>
                <w:szCs w:val="22"/>
                <w:u w:val="single"/>
              </w:rPr>
              <w:t>CAPM</w:t>
            </w:r>
            <w:proofErr w:type="spellEnd"/>
          </w:p>
        </w:tc>
      </w:tr>
      <w:tr w:rsidR="00685365" w14:paraId="56F2784E" w14:textId="77777777" w:rsidTr="0093780B">
        <w:trPr>
          <w:trHeight w:val="269"/>
          <w:jc w:val="center"/>
        </w:trPr>
        <w:tc>
          <w:tcPr>
            <w:tcW w:w="4807" w:type="dxa"/>
          </w:tcPr>
          <w:p w14:paraId="3B352FC0" w14:textId="77777777" w:rsidR="00685365" w:rsidRPr="002C207B" w:rsidRDefault="00685365" w:rsidP="0093780B">
            <w:pPr>
              <w:tabs>
                <w:tab w:val="left" w:pos="728"/>
                <w:tab w:val="left" w:pos="1430"/>
                <w:tab w:val="left" w:pos="2158"/>
              </w:tabs>
              <w:overflowPunct w:val="0"/>
              <w:autoSpaceDE w:val="0"/>
              <w:autoSpaceDN w:val="0"/>
              <w:adjustRightInd w:val="0"/>
              <w:textAlignment w:val="baseline"/>
              <w:outlineLvl w:val="8"/>
              <w:rPr>
                <w:rFonts w:ascii="Times New Roman" w:hAnsi="Times New Roman" w:cs="Arial"/>
                <w:sz w:val="24"/>
                <w:szCs w:val="22"/>
              </w:rPr>
            </w:pPr>
            <w:r w:rsidRPr="002C207B">
              <w:rPr>
                <w:rFonts w:cs="Arial"/>
                <w:szCs w:val="22"/>
              </w:rPr>
              <w:t>Current 30-Yr Treasury (</w:t>
            </w:r>
            <w:r>
              <w:rPr>
                <w:rFonts w:cs="Arial"/>
                <w:szCs w:val="22"/>
              </w:rPr>
              <w:t>2.31</w:t>
            </w:r>
            <w:r w:rsidRPr="002C207B">
              <w:rPr>
                <w:rFonts w:cs="Arial"/>
                <w:szCs w:val="22"/>
              </w:rPr>
              <w:t>%)</w:t>
            </w:r>
          </w:p>
        </w:tc>
        <w:tc>
          <w:tcPr>
            <w:tcW w:w="1938" w:type="dxa"/>
          </w:tcPr>
          <w:p w14:paraId="0275AD33"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r>
              <w:rPr>
                <w:rFonts w:cs="Arial"/>
                <w:szCs w:val="22"/>
              </w:rPr>
              <w:t>12.71</w:t>
            </w:r>
            <w:r w:rsidRPr="002C207B">
              <w:rPr>
                <w:rFonts w:cs="Arial"/>
                <w:szCs w:val="22"/>
              </w:rPr>
              <w:t>%</w:t>
            </w:r>
            <w:r>
              <w:rPr>
                <w:rFonts w:cs="Arial"/>
                <w:szCs w:val="22"/>
              </w:rPr>
              <w:t xml:space="preserve"> / 12.42%</w:t>
            </w:r>
          </w:p>
        </w:tc>
        <w:tc>
          <w:tcPr>
            <w:tcW w:w="1980" w:type="dxa"/>
          </w:tcPr>
          <w:p w14:paraId="778225D6"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r>
              <w:rPr>
                <w:rFonts w:cs="Arial"/>
                <w:szCs w:val="22"/>
              </w:rPr>
              <w:t>10.34</w:t>
            </w:r>
            <w:r w:rsidRPr="002C207B">
              <w:rPr>
                <w:rFonts w:cs="Arial"/>
                <w:szCs w:val="22"/>
              </w:rPr>
              <w:t>%</w:t>
            </w:r>
            <w:r>
              <w:rPr>
                <w:rFonts w:cs="Arial"/>
                <w:szCs w:val="22"/>
              </w:rPr>
              <w:t xml:space="preserve"> / 10.12%</w:t>
            </w:r>
          </w:p>
        </w:tc>
      </w:tr>
      <w:tr w:rsidR="00685365" w14:paraId="7D8D4C1E" w14:textId="77777777" w:rsidTr="0093780B">
        <w:trPr>
          <w:trHeight w:val="269"/>
          <w:jc w:val="center"/>
        </w:trPr>
        <w:tc>
          <w:tcPr>
            <w:tcW w:w="4807" w:type="dxa"/>
          </w:tcPr>
          <w:p w14:paraId="2EFE38F4" w14:textId="77777777" w:rsidR="00685365" w:rsidRPr="002C207B" w:rsidRDefault="00685365" w:rsidP="0093780B">
            <w:pPr>
              <w:tabs>
                <w:tab w:val="left" w:pos="728"/>
                <w:tab w:val="left" w:pos="1430"/>
                <w:tab w:val="left" w:pos="2158"/>
              </w:tabs>
              <w:overflowPunct w:val="0"/>
              <w:autoSpaceDE w:val="0"/>
              <w:autoSpaceDN w:val="0"/>
              <w:adjustRightInd w:val="0"/>
              <w:textAlignment w:val="baseline"/>
              <w:outlineLvl w:val="8"/>
              <w:rPr>
                <w:rFonts w:ascii="Times New Roman" w:hAnsi="Times New Roman" w:cs="Arial"/>
                <w:sz w:val="24"/>
                <w:szCs w:val="22"/>
              </w:rPr>
            </w:pPr>
            <w:r w:rsidRPr="002C207B">
              <w:rPr>
                <w:rFonts w:cs="Arial"/>
                <w:szCs w:val="22"/>
              </w:rPr>
              <w:t>Near-Term Projected 30-Yr Treasury (</w:t>
            </w:r>
            <w:r>
              <w:rPr>
                <w:rFonts w:cs="Arial"/>
                <w:szCs w:val="22"/>
              </w:rPr>
              <w:t>2.88</w:t>
            </w:r>
            <w:r w:rsidRPr="002C207B">
              <w:rPr>
                <w:rFonts w:cs="Arial"/>
                <w:szCs w:val="22"/>
              </w:rPr>
              <w:t>%)</w:t>
            </w:r>
            <w:r w:rsidRPr="002C207B">
              <w:rPr>
                <w:rFonts w:cs="Arial"/>
                <w:szCs w:val="22"/>
                <w:vertAlign w:val="superscript"/>
              </w:rPr>
              <w:t>2</w:t>
            </w:r>
          </w:p>
        </w:tc>
        <w:tc>
          <w:tcPr>
            <w:tcW w:w="1938" w:type="dxa"/>
          </w:tcPr>
          <w:p w14:paraId="69DBC2B4"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r>
              <w:rPr>
                <w:rFonts w:cs="Arial"/>
                <w:szCs w:val="22"/>
              </w:rPr>
              <w:t>12.78</w:t>
            </w:r>
            <w:r w:rsidRPr="002C207B">
              <w:rPr>
                <w:rFonts w:cs="Arial"/>
                <w:szCs w:val="22"/>
              </w:rPr>
              <w:t>%</w:t>
            </w:r>
            <w:r>
              <w:rPr>
                <w:rFonts w:cs="Arial"/>
                <w:szCs w:val="22"/>
              </w:rPr>
              <w:t xml:space="preserve"> / 12.51%</w:t>
            </w:r>
          </w:p>
        </w:tc>
        <w:tc>
          <w:tcPr>
            <w:tcW w:w="1980" w:type="dxa"/>
          </w:tcPr>
          <w:p w14:paraId="2EC959F8"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r>
              <w:rPr>
                <w:rFonts w:cs="Arial"/>
                <w:szCs w:val="22"/>
              </w:rPr>
              <w:t>10.39</w:t>
            </w:r>
            <w:r w:rsidRPr="002C207B">
              <w:rPr>
                <w:rFonts w:cs="Arial"/>
                <w:szCs w:val="22"/>
              </w:rPr>
              <w:t>%</w:t>
            </w:r>
            <w:r>
              <w:rPr>
                <w:rFonts w:cs="Arial"/>
                <w:szCs w:val="22"/>
              </w:rPr>
              <w:t xml:space="preserve"> / 10.18%</w:t>
            </w:r>
          </w:p>
        </w:tc>
      </w:tr>
      <w:tr w:rsidR="00685365" w14:paraId="7DB8A09C" w14:textId="77777777" w:rsidTr="0093780B">
        <w:trPr>
          <w:trHeight w:val="269"/>
          <w:jc w:val="center"/>
        </w:trPr>
        <w:tc>
          <w:tcPr>
            <w:tcW w:w="4807" w:type="dxa"/>
          </w:tcPr>
          <w:p w14:paraId="30AE109D" w14:textId="77777777" w:rsidR="00685365" w:rsidRPr="002C207B" w:rsidRDefault="00685365" w:rsidP="0093780B">
            <w:pPr>
              <w:tabs>
                <w:tab w:val="left" w:pos="728"/>
                <w:tab w:val="left" w:pos="1430"/>
                <w:tab w:val="left" w:pos="2158"/>
              </w:tabs>
              <w:overflowPunct w:val="0"/>
              <w:autoSpaceDE w:val="0"/>
              <w:autoSpaceDN w:val="0"/>
              <w:adjustRightInd w:val="0"/>
              <w:textAlignment w:val="baseline"/>
              <w:outlineLvl w:val="8"/>
              <w:rPr>
                <w:rFonts w:cs="Arial"/>
                <w:szCs w:val="22"/>
              </w:rPr>
            </w:pPr>
            <w:r>
              <w:rPr>
                <w:rFonts w:cs="Arial"/>
                <w:szCs w:val="22"/>
              </w:rPr>
              <w:t xml:space="preserve">Alternative </w:t>
            </w:r>
            <w:proofErr w:type="spellStart"/>
            <w:r>
              <w:rPr>
                <w:rFonts w:cs="Arial"/>
                <w:szCs w:val="22"/>
              </w:rPr>
              <w:t>CAPM</w:t>
            </w:r>
            <w:proofErr w:type="spellEnd"/>
            <w:r>
              <w:rPr>
                <w:rFonts w:cs="Arial"/>
                <w:szCs w:val="22"/>
              </w:rPr>
              <w:t xml:space="preserve"> (historical beta)</w:t>
            </w:r>
          </w:p>
        </w:tc>
        <w:tc>
          <w:tcPr>
            <w:tcW w:w="1938" w:type="dxa"/>
          </w:tcPr>
          <w:p w14:paraId="20C0184D" w14:textId="77777777" w:rsidR="00685365" w:rsidRDefault="00685365" w:rsidP="0093780B">
            <w:pPr>
              <w:tabs>
                <w:tab w:val="left" w:pos="728"/>
                <w:tab w:val="left" w:pos="1430"/>
                <w:tab w:val="left" w:pos="2158"/>
              </w:tabs>
              <w:overflowPunct w:val="0"/>
              <w:autoSpaceDE w:val="0"/>
              <w:autoSpaceDN w:val="0"/>
              <w:adjustRightInd w:val="0"/>
              <w:jc w:val="center"/>
              <w:textAlignment w:val="baseline"/>
              <w:outlineLvl w:val="8"/>
              <w:rPr>
                <w:rFonts w:cs="Arial"/>
                <w:szCs w:val="22"/>
              </w:rPr>
            </w:pPr>
          </w:p>
        </w:tc>
        <w:tc>
          <w:tcPr>
            <w:tcW w:w="1980" w:type="dxa"/>
          </w:tcPr>
          <w:p w14:paraId="0470FD78" w14:textId="77777777" w:rsidR="00685365" w:rsidRDefault="00685365" w:rsidP="0093780B">
            <w:pPr>
              <w:tabs>
                <w:tab w:val="left" w:pos="728"/>
                <w:tab w:val="left" w:pos="1430"/>
                <w:tab w:val="left" w:pos="2158"/>
              </w:tabs>
              <w:overflowPunct w:val="0"/>
              <w:autoSpaceDE w:val="0"/>
              <w:autoSpaceDN w:val="0"/>
              <w:adjustRightInd w:val="0"/>
              <w:jc w:val="center"/>
              <w:textAlignment w:val="baseline"/>
              <w:outlineLvl w:val="8"/>
              <w:rPr>
                <w:rFonts w:cs="Arial"/>
                <w:szCs w:val="22"/>
              </w:rPr>
            </w:pPr>
            <w:r>
              <w:rPr>
                <w:rFonts w:cs="Arial"/>
                <w:szCs w:val="22"/>
              </w:rPr>
              <w:t>8.83% / 8.94%</w:t>
            </w:r>
          </w:p>
        </w:tc>
      </w:tr>
      <w:tr w:rsidR="00685365" w14:paraId="38179B76" w14:textId="77777777" w:rsidTr="0093780B">
        <w:trPr>
          <w:trHeight w:val="269"/>
          <w:jc w:val="center"/>
        </w:trPr>
        <w:tc>
          <w:tcPr>
            <w:tcW w:w="4807" w:type="dxa"/>
          </w:tcPr>
          <w:p w14:paraId="2EF66D78" w14:textId="77777777" w:rsidR="00685365" w:rsidRPr="002C207B" w:rsidRDefault="00685365" w:rsidP="0093780B">
            <w:pPr>
              <w:tabs>
                <w:tab w:val="left" w:pos="728"/>
                <w:tab w:val="left" w:pos="1430"/>
                <w:tab w:val="left" w:pos="2158"/>
              </w:tabs>
              <w:overflowPunct w:val="0"/>
              <w:autoSpaceDE w:val="0"/>
              <w:autoSpaceDN w:val="0"/>
              <w:adjustRightInd w:val="0"/>
              <w:textAlignment w:val="baseline"/>
              <w:outlineLvl w:val="8"/>
              <w:rPr>
                <w:rFonts w:cs="Arial"/>
                <w:szCs w:val="22"/>
              </w:rPr>
            </w:pPr>
          </w:p>
        </w:tc>
        <w:tc>
          <w:tcPr>
            <w:tcW w:w="1938" w:type="dxa"/>
          </w:tcPr>
          <w:p w14:paraId="3ED2648B"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cs="Arial"/>
                <w:szCs w:val="22"/>
              </w:rPr>
            </w:pPr>
          </w:p>
        </w:tc>
        <w:tc>
          <w:tcPr>
            <w:tcW w:w="1980" w:type="dxa"/>
          </w:tcPr>
          <w:p w14:paraId="2867FB12"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cs="Arial"/>
                <w:szCs w:val="22"/>
              </w:rPr>
            </w:pPr>
          </w:p>
        </w:tc>
      </w:tr>
      <w:tr w:rsidR="00685365" w14:paraId="2514CC92" w14:textId="77777777" w:rsidTr="0093780B">
        <w:trPr>
          <w:trHeight w:val="269"/>
          <w:jc w:val="center"/>
        </w:trPr>
        <w:tc>
          <w:tcPr>
            <w:tcW w:w="4807" w:type="dxa"/>
          </w:tcPr>
          <w:p w14:paraId="7CB3C100" w14:textId="77777777" w:rsidR="00685365" w:rsidRPr="002C207B" w:rsidRDefault="00685365" w:rsidP="0093780B">
            <w:pPr>
              <w:tabs>
                <w:tab w:val="left" w:pos="728"/>
                <w:tab w:val="left" w:pos="1430"/>
                <w:tab w:val="left" w:pos="2158"/>
              </w:tabs>
              <w:overflowPunct w:val="0"/>
              <w:autoSpaceDE w:val="0"/>
              <w:autoSpaceDN w:val="0"/>
              <w:adjustRightInd w:val="0"/>
              <w:textAlignment w:val="baseline"/>
              <w:outlineLvl w:val="8"/>
              <w:rPr>
                <w:rFonts w:cs="Arial"/>
                <w:szCs w:val="22"/>
              </w:rPr>
            </w:pPr>
            <w:proofErr w:type="spellStart"/>
            <w:r>
              <w:rPr>
                <w:rFonts w:cs="Arial"/>
                <w:szCs w:val="22"/>
                <w:u w:val="single"/>
              </w:rPr>
              <w:t>ECAPM</w:t>
            </w:r>
            <w:proofErr w:type="spellEnd"/>
          </w:p>
        </w:tc>
        <w:tc>
          <w:tcPr>
            <w:tcW w:w="1938" w:type="dxa"/>
          </w:tcPr>
          <w:p w14:paraId="1700139D"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cs="Arial"/>
                <w:szCs w:val="22"/>
              </w:rPr>
            </w:pPr>
          </w:p>
        </w:tc>
        <w:tc>
          <w:tcPr>
            <w:tcW w:w="1980" w:type="dxa"/>
          </w:tcPr>
          <w:p w14:paraId="78FD3630"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cs="Arial"/>
                <w:szCs w:val="22"/>
              </w:rPr>
            </w:pPr>
          </w:p>
        </w:tc>
      </w:tr>
      <w:tr w:rsidR="00685365" w14:paraId="6332F1DD" w14:textId="77777777" w:rsidTr="0093780B">
        <w:trPr>
          <w:trHeight w:val="269"/>
          <w:jc w:val="center"/>
        </w:trPr>
        <w:tc>
          <w:tcPr>
            <w:tcW w:w="4807" w:type="dxa"/>
          </w:tcPr>
          <w:p w14:paraId="29F8BDB4" w14:textId="77777777" w:rsidR="00685365" w:rsidRPr="002C207B" w:rsidRDefault="00685365" w:rsidP="0093780B">
            <w:pPr>
              <w:tabs>
                <w:tab w:val="left" w:pos="728"/>
                <w:tab w:val="left" w:pos="1430"/>
                <w:tab w:val="left" w:pos="2158"/>
              </w:tabs>
              <w:overflowPunct w:val="0"/>
              <w:autoSpaceDE w:val="0"/>
              <w:autoSpaceDN w:val="0"/>
              <w:adjustRightInd w:val="0"/>
              <w:textAlignment w:val="baseline"/>
              <w:outlineLvl w:val="8"/>
              <w:rPr>
                <w:rFonts w:ascii="Times New Roman" w:hAnsi="Times New Roman" w:cs="Arial"/>
                <w:sz w:val="24"/>
                <w:szCs w:val="22"/>
              </w:rPr>
            </w:pPr>
            <w:r w:rsidRPr="002C207B">
              <w:rPr>
                <w:rFonts w:cs="Arial"/>
                <w:szCs w:val="22"/>
              </w:rPr>
              <w:t>Current 30-Yr Treasury (</w:t>
            </w:r>
            <w:r>
              <w:rPr>
                <w:rFonts w:cs="Arial"/>
                <w:szCs w:val="22"/>
              </w:rPr>
              <w:t>2.31</w:t>
            </w:r>
            <w:r w:rsidRPr="002C207B">
              <w:rPr>
                <w:rFonts w:cs="Arial"/>
                <w:szCs w:val="22"/>
              </w:rPr>
              <w:t>%)</w:t>
            </w:r>
          </w:p>
        </w:tc>
        <w:tc>
          <w:tcPr>
            <w:tcW w:w="1938" w:type="dxa"/>
          </w:tcPr>
          <w:p w14:paraId="469272DD"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cs="Arial"/>
                <w:szCs w:val="22"/>
              </w:rPr>
            </w:pPr>
            <w:r w:rsidRPr="002C207B">
              <w:rPr>
                <w:rFonts w:cs="Arial"/>
                <w:szCs w:val="22"/>
              </w:rPr>
              <w:t>13.</w:t>
            </w:r>
            <w:r>
              <w:rPr>
                <w:rFonts w:cs="Arial"/>
                <w:szCs w:val="22"/>
              </w:rPr>
              <w:t>08</w:t>
            </w:r>
            <w:r w:rsidRPr="002C207B">
              <w:rPr>
                <w:rFonts w:cs="Arial"/>
                <w:szCs w:val="22"/>
              </w:rPr>
              <w:t>%</w:t>
            </w:r>
            <w:r>
              <w:rPr>
                <w:rFonts w:cs="Arial"/>
                <w:szCs w:val="22"/>
              </w:rPr>
              <w:t xml:space="preserve"> / 12.87%</w:t>
            </w:r>
          </w:p>
        </w:tc>
        <w:tc>
          <w:tcPr>
            <w:tcW w:w="1980" w:type="dxa"/>
          </w:tcPr>
          <w:p w14:paraId="7B4D6545"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cs="Arial"/>
                <w:szCs w:val="22"/>
              </w:rPr>
            </w:pPr>
            <w:r>
              <w:rPr>
                <w:rFonts w:cs="Arial"/>
                <w:szCs w:val="22"/>
              </w:rPr>
              <w:t>Reject</w:t>
            </w:r>
          </w:p>
        </w:tc>
      </w:tr>
      <w:tr w:rsidR="00685365" w14:paraId="0A9646B4" w14:textId="77777777" w:rsidTr="0093780B">
        <w:trPr>
          <w:trHeight w:val="225"/>
          <w:jc w:val="center"/>
        </w:trPr>
        <w:tc>
          <w:tcPr>
            <w:tcW w:w="4807" w:type="dxa"/>
          </w:tcPr>
          <w:p w14:paraId="34759768" w14:textId="77777777" w:rsidR="00685365" w:rsidRPr="002C207B" w:rsidRDefault="00685365" w:rsidP="0093780B">
            <w:pPr>
              <w:tabs>
                <w:tab w:val="left" w:pos="728"/>
                <w:tab w:val="left" w:pos="1430"/>
                <w:tab w:val="left" w:pos="2158"/>
              </w:tabs>
              <w:overflowPunct w:val="0"/>
              <w:autoSpaceDE w:val="0"/>
              <w:autoSpaceDN w:val="0"/>
              <w:adjustRightInd w:val="0"/>
              <w:textAlignment w:val="baseline"/>
              <w:outlineLvl w:val="8"/>
              <w:rPr>
                <w:rFonts w:ascii="Times New Roman" w:hAnsi="Times New Roman" w:cs="Arial"/>
                <w:sz w:val="24"/>
                <w:szCs w:val="22"/>
              </w:rPr>
            </w:pPr>
            <w:r w:rsidRPr="002C207B">
              <w:rPr>
                <w:rFonts w:cs="Arial"/>
                <w:szCs w:val="22"/>
              </w:rPr>
              <w:t>Near-Term Projected 30-Yr Treasury (</w:t>
            </w:r>
            <w:r>
              <w:rPr>
                <w:rFonts w:cs="Arial"/>
                <w:szCs w:val="22"/>
              </w:rPr>
              <w:t>2.88</w:t>
            </w:r>
            <w:r w:rsidRPr="002C207B">
              <w:rPr>
                <w:rFonts w:cs="Arial"/>
                <w:szCs w:val="22"/>
              </w:rPr>
              <w:t>%)</w:t>
            </w:r>
            <w:r w:rsidRPr="002C207B">
              <w:rPr>
                <w:rFonts w:cs="Arial"/>
                <w:szCs w:val="22"/>
                <w:vertAlign w:val="superscript"/>
              </w:rPr>
              <w:t>2</w:t>
            </w:r>
          </w:p>
        </w:tc>
        <w:tc>
          <w:tcPr>
            <w:tcW w:w="1938" w:type="dxa"/>
          </w:tcPr>
          <w:p w14:paraId="1E3E4EBE"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highlight w:val="yellow"/>
              </w:rPr>
            </w:pPr>
            <w:r w:rsidRPr="002C207B">
              <w:rPr>
                <w:rFonts w:cs="Arial"/>
                <w:szCs w:val="22"/>
              </w:rPr>
              <w:t>13.</w:t>
            </w:r>
            <w:r>
              <w:rPr>
                <w:rFonts w:cs="Arial"/>
                <w:szCs w:val="22"/>
              </w:rPr>
              <w:t>14</w:t>
            </w:r>
            <w:r w:rsidRPr="002C207B">
              <w:rPr>
                <w:rFonts w:cs="Arial"/>
                <w:szCs w:val="22"/>
              </w:rPr>
              <w:t>%</w:t>
            </w:r>
            <w:r>
              <w:rPr>
                <w:rFonts w:cs="Arial"/>
                <w:szCs w:val="22"/>
              </w:rPr>
              <w:t xml:space="preserve"> / 12.93%</w:t>
            </w:r>
          </w:p>
        </w:tc>
        <w:tc>
          <w:tcPr>
            <w:tcW w:w="1980" w:type="dxa"/>
          </w:tcPr>
          <w:p w14:paraId="575FA052"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highlight w:val="yellow"/>
              </w:rPr>
            </w:pPr>
            <w:r>
              <w:rPr>
                <w:rFonts w:cs="Arial"/>
                <w:szCs w:val="22"/>
              </w:rPr>
              <w:t>Reject</w:t>
            </w:r>
          </w:p>
        </w:tc>
      </w:tr>
      <w:tr w:rsidR="00685365" w14:paraId="2699CA45" w14:textId="77777777" w:rsidTr="0093780B">
        <w:trPr>
          <w:trHeight w:val="225"/>
          <w:jc w:val="center"/>
        </w:trPr>
        <w:tc>
          <w:tcPr>
            <w:tcW w:w="4807" w:type="dxa"/>
          </w:tcPr>
          <w:p w14:paraId="422323DC" w14:textId="77777777" w:rsidR="00685365" w:rsidRPr="002C207B" w:rsidRDefault="00685365" w:rsidP="0093780B">
            <w:pPr>
              <w:tabs>
                <w:tab w:val="left" w:pos="728"/>
                <w:tab w:val="left" w:pos="1430"/>
                <w:tab w:val="left" w:pos="2158"/>
              </w:tabs>
              <w:overflowPunct w:val="0"/>
              <w:autoSpaceDE w:val="0"/>
              <w:autoSpaceDN w:val="0"/>
              <w:adjustRightInd w:val="0"/>
              <w:textAlignment w:val="baseline"/>
              <w:outlineLvl w:val="8"/>
              <w:rPr>
                <w:rFonts w:cs="Arial"/>
                <w:szCs w:val="22"/>
              </w:rPr>
            </w:pPr>
          </w:p>
        </w:tc>
        <w:tc>
          <w:tcPr>
            <w:tcW w:w="1938" w:type="dxa"/>
          </w:tcPr>
          <w:p w14:paraId="592378CD"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cs="Arial"/>
                <w:szCs w:val="22"/>
              </w:rPr>
            </w:pPr>
          </w:p>
        </w:tc>
        <w:tc>
          <w:tcPr>
            <w:tcW w:w="1980" w:type="dxa"/>
          </w:tcPr>
          <w:p w14:paraId="40DE2E0F"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cs="Arial"/>
                <w:szCs w:val="22"/>
              </w:rPr>
            </w:pPr>
          </w:p>
        </w:tc>
      </w:tr>
      <w:tr w:rsidR="00685365" w14:paraId="487AB235" w14:textId="77777777" w:rsidTr="0093780B">
        <w:trPr>
          <w:trHeight w:val="269"/>
          <w:jc w:val="center"/>
        </w:trPr>
        <w:tc>
          <w:tcPr>
            <w:tcW w:w="4807" w:type="dxa"/>
          </w:tcPr>
          <w:p w14:paraId="74F18437" w14:textId="77777777" w:rsidR="00685365" w:rsidRPr="002C207B" w:rsidRDefault="00685365" w:rsidP="0093780B">
            <w:pPr>
              <w:tabs>
                <w:tab w:val="left" w:pos="728"/>
                <w:tab w:val="left" w:pos="1430"/>
                <w:tab w:val="left" w:pos="2158"/>
              </w:tabs>
              <w:overflowPunct w:val="0"/>
              <w:autoSpaceDE w:val="0"/>
              <w:autoSpaceDN w:val="0"/>
              <w:adjustRightInd w:val="0"/>
              <w:textAlignment w:val="baseline"/>
              <w:outlineLvl w:val="8"/>
              <w:rPr>
                <w:rFonts w:ascii="Times New Roman" w:hAnsi="Times New Roman" w:cs="Arial"/>
                <w:sz w:val="24"/>
                <w:szCs w:val="22"/>
                <w:u w:val="single"/>
              </w:rPr>
            </w:pPr>
            <w:r w:rsidRPr="002C207B">
              <w:rPr>
                <w:rFonts w:cs="Arial"/>
                <w:szCs w:val="22"/>
                <w:u w:val="single"/>
              </w:rPr>
              <w:t>Risk Premium</w:t>
            </w:r>
          </w:p>
        </w:tc>
        <w:tc>
          <w:tcPr>
            <w:tcW w:w="1938" w:type="dxa"/>
          </w:tcPr>
          <w:p w14:paraId="706A394C"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p>
        </w:tc>
        <w:tc>
          <w:tcPr>
            <w:tcW w:w="1980" w:type="dxa"/>
          </w:tcPr>
          <w:p w14:paraId="36251A9C"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p>
        </w:tc>
      </w:tr>
      <w:tr w:rsidR="00685365" w14:paraId="3983CAB1" w14:textId="77777777" w:rsidTr="0093780B">
        <w:trPr>
          <w:trHeight w:val="269"/>
          <w:jc w:val="center"/>
        </w:trPr>
        <w:tc>
          <w:tcPr>
            <w:tcW w:w="4807" w:type="dxa"/>
          </w:tcPr>
          <w:p w14:paraId="2613656F" w14:textId="77777777" w:rsidR="00685365" w:rsidRPr="002C207B" w:rsidRDefault="00685365" w:rsidP="0093780B">
            <w:pPr>
              <w:tabs>
                <w:tab w:val="left" w:pos="728"/>
                <w:tab w:val="left" w:pos="1430"/>
                <w:tab w:val="left" w:pos="2158"/>
              </w:tabs>
              <w:overflowPunct w:val="0"/>
              <w:autoSpaceDE w:val="0"/>
              <w:autoSpaceDN w:val="0"/>
              <w:adjustRightInd w:val="0"/>
              <w:textAlignment w:val="baseline"/>
              <w:outlineLvl w:val="8"/>
              <w:rPr>
                <w:rFonts w:ascii="Times New Roman" w:hAnsi="Times New Roman" w:cs="Arial"/>
                <w:sz w:val="24"/>
                <w:szCs w:val="22"/>
              </w:rPr>
            </w:pPr>
            <w:r w:rsidRPr="002C207B">
              <w:rPr>
                <w:rFonts w:cs="Arial"/>
                <w:szCs w:val="22"/>
              </w:rPr>
              <w:t>Current 30-Yr Treasury (</w:t>
            </w:r>
            <w:r>
              <w:rPr>
                <w:rFonts w:cs="Arial"/>
                <w:szCs w:val="22"/>
              </w:rPr>
              <w:t>2.31</w:t>
            </w:r>
            <w:r w:rsidRPr="002C207B">
              <w:rPr>
                <w:rFonts w:cs="Arial"/>
                <w:szCs w:val="22"/>
              </w:rPr>
              <w:t>%)</w:t>
            </w:r>
          </w:p>
        </w:tc>
        <w:tc>
          <w:tcPr>
            <w:tcW w:w="1938" w:type="dxa"/>
          </w:tcPr>
          <w:p w14:paraId="5127266B"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r>
              <w:rPr>
                <w:rFonts w:cs="Arial"/>
                <w:szCs w:val="22"/>
              </w:rPr>
              <w:t>9.81</w:t>
            </w:r>
            <w:r w:rsidRPr="002C207B">
              <w:rPr>
                <w:rFonts w:cs="Arial"/>
                <w:szCs w:val="22"/>
              </w:rPr>
              <w:t>%</w:t>
            </w:r>
          </w:p>
        </w:tc>
        <w:tc>
          <w:tcPr>
            <w:tcW w:w="1980" w:type="dxa"/>
          </w:tcPr>
          <w:p w14:paraId="65F9C191" w14:textId="5DE71861" w:rsidR="00685365" w:rsidRPr="002C207B" w:rsidRDefault="00685365" w:rsidP="00547FB6">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r w:rsidRPr="002C207B">
              <w:rPr>
                <w:rFonts w:cs="Arial"/>
                <w:szCs w:val="22"/>
              </w:rPr>
              <w:t>8.6</w:t>
            </w:r>
            <w:r w:rsidR="00547FB6">
              <w:rPr>
                <w:rFonts w:cs="Arial"/>
                <w:szCs w:val="22"/>
              </w:rPr>
              <w:t>7</w:t>
            </w:r>
            <w:r w:rsidRPr="002C207B">
              <w:rPr>
                <w:rFonts w:cs="Arial"/>
                <w:szCs w:val="22"/>
              </w:rPr>
              <w:t>%</w:t>
            </w:r>
          </w:p>
        </w:tc>
      </w:tr>
      <w:tr w:rsidR="00685365" w14:paraId="16DF0373" w14:textId="77777777" w:rsidTr="0093780B">
        <w:trPr>
          <w:trHeight w:val="269"/>
          <w:jc w:val="center"/>
        </w:trPr>
        <w:tc>
          <w:tcPr>
            <w:tcW w:w="4807" w:type="dxa"/>
          </w:tcPr>
          <w:p w14:paraId="1003BB2D" w14:textId="77777777" w:rsidR="00685365" w:rsidRPr="002C207B" w:rsidRDefault="00685365" w:rsidP="0093780B">
            <w:pPr>
              <w:tabs>
                <w:tab w:val="left" w:pos="728"/>
                <w:tab w:val="left" w:pos="1430"/>
                <w:tab w:val="left" w:pos="2158"/>
              </w:tabs>
              <w:overflowPunct w:val="0"/>
              <w:autoSpaceDE w:val="0"/>
              <w:autoSpaceDN w:val="0"/>
              <w:adjustRightInd w:val="0"/>
              <w:textAlignment w:val="baseline"/>
              <w:outlineLvl w:val="8"/>
              <w:rPr>
                <w:rFonts w:ascii="Times New Roman" w:hAnsi="Times New Roman" w:cs="Arial"/>
                <w:sz w:val="24"/>
                <w:szCs w:val="22"/>
              </w:rPr>
            </w:pPr>
            <w:r w:rsidRPr="002C207B">
              <w:rPr>
                <w:rFonts w:cs="Arial"/>
                <w:szCs w:val="22"/>
              </w:rPr>
              <w:t>Near-Term Projected 30-Yr Treasury (</w:t>
            </w:r>
            <w:r>
              <w:rPr>
                <w:rFonts w:cs="Arial"/>
                <w:szCs w:val="22"/>
              </w:rPr>
              <w:t>2.88</w:t>
            </w:r>
            <w:r w:rsidRPr="002C207B">
              <w:rPr>
                <w:rFonts w:cs="Arial"/>
                <w:szCs w:val="22"/>
              </w:rPr>
              <w:t>%)</w:t>
            </w:r>
            <w:r w:rsidRPr="002C207B">
              <w:rPr>
                <w:rFonts w:cs="Arial"/>
                <w:szCs w:val="22"/>
                <w:vertAlign w:val="superscript"/>
              </w:rPr>
              <w:t>2</w:t>
            </w:r>
          </w:p>
        </w:tc>
        <w:tc>
          <w:tcPr>
            <w:tcW w:w="1938" w:type="dxa"/>
          </w:tcPr>
          <w:p w14:paraId="7A305CC6"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r w:rsidRPr="002C207B">
              <w:rPr>
                <w:rFonts w:cs="Arial"/>
                <w:szCs w:val="22"/>
              </w:rPr>
              <w:t>9.8</w:t>
            </w:r>
            <w:r>
              <w:rPr>
                <w:rFonts w:cs="Arial"/>
                <w:szCs w:val="22"/>
              </w:rPr>
              <w:t>1</w:t>
            </w:r>
            <w:r w:rsidRPr="002C207B">
              <w:rPr>
                <w:rFonts w:cs="Arial"/>
                <w:szCs w:val="22"/>
              </w:rPr>
              <w:t>%</w:t>
            </w:r>
          </w:p>
        </w:tc>
        <w:tc>
          <w:tcPr>
            <w:tcW w:w="1980" w:type="dxa"/>
          </w:tcPr>
          <w:p w14:paraId="2C64174F" w14:textId="762822F8" w:rsidR="00685365" w:rsidRPr="002C207B" w:rsidRDefault="00547FB6"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r>
              <w:rPr>
                <w:rFonts w:cs="Arial"/>
                <w:szCs w:val="22"/>
              </w:rPr>
              <w:t>9.04</w:t>
            </w:r>
            <w:r w:rsidR="00685365" w:rsidRPr="002C207B">
              <w:rPr>
                <w:rFonts w:cs="Arial"/>
                <w:szCs w:val="22"/>
              </w:rPr>
              <w:t>%</w:t>
            </w:r>
          </w:p>
        </w:tc>
      </w:tr>
      <w:tr w:rsidR="00685365" w14:paraId="64766482" w14:textId="77777777" w:rsidTr="0093780B">
        <w:trPr>
          <w:trHeight w:val="162"/>
          <w:jc w:val="center"/>
        </w:trPr>
        <w:tc>
          <w:tcPr>
            <w:tcW w:w="4807" w:type="dxa"/>
          </w:tcPr>
          <w:p w14:paraId="04940CC7" w14:textId="77777777" w:rsidR="00685365" w:rsidRPr="002C207B" w:rsidRDefault="00685365" w:rsidP="0093780B">
            <w:pPr>
              <w:tabs>
                <w:tab w:val="left" w:pos="728"/>
                <w:tab w:val="left" w:pos="1430"/>
                <w:tab w:val="left" w:pos="2158"/>
              </w:tabs>
              <w:overflowPunct w:val="0"/>
              <w:autoSpaceDE w:val="0"/>
              <w:autoSpaceDN w:val="0"/>
              <w:adjustRightInd w:val="0"/>
              <w:spacing w:before="120"/>
              <w:textAlignment w:val="baseline"/>
              <w:outlineLvl w:val="8"/>
              <w:rPr>
                <w:rFonts w:ascii="Times New Roman" w:hAnsi="Times New Roman" w:cs="Arial"/>
                <w:sz w:val="24"/>
                <w:szCs w:val="22"/>
              </w:rPr>
            </w:pPr>
          </w:p>
        </w:tc>
        <w:tc>
          <w:tcPr>
            <w:tcW w:w="1938" w:type="dxa"/>
          </w:tcPr>
          <w:p w14:paraId="3EBAD209" w14:textId="77777777" w:rsidR="00685365" w:rsidRPr="002C207B" w:rsidRDefault="00685365" w:rsidP="0093780B">
            <w:pPr>
              <w:tabs>
                <w:tab w:val="left" w:pos="728"/>
                <w:tab w:val="left" w:pos="1430"/>
                <w:tab w:val="left" w:pos="2158"/>
              </w:tabs>
              <w:overflowPunct w:val="0"/>
              <w:autoSpaceDE w:val="0"/>
              <w:autoSpaceDN w:val="0"/>
              <w:adjustRightInd w:val="0"/>
              <w:spacing w:before="120"/>
              <w:jc w:val="center"/>
              <w:textAlignment w:val="baseline"/>
              <w:outlineLvl w:val="8"/>
              <w:rPr>
                <w:rFonts w:ascii="Times New Roman" w:hAnsi="Times New Roman" w:cs="Arial"/>
                <w:sz w:val="24"/>
                <w:szCs w:val="22"/>
              </w:rPr>
            </w:pPr>
          </w:p>
        </w:tc>
        <w:tc>
          <w:tcPr>
            <w:tcW w:w="1980" w:type="dxa"/>
          </w:tcPr>
          <w:p w14:paraId="20186F66" w14:textId="77777777" w:rsidR="00685365" w:rsidRPr="002C207B" w:rsidRDefault="00685365" w:rsidP="0093780B">
            <w:pPr>
              <w:tabs>
                <w:tab w:val="left" w:pos="728"/>
                <w:tab w:val="left" w:pos="1430"/>
                <w:tab w:val="left" w:pos="2158"/>
              </w:tabs>
              <w:overflowPunct w:val="0"/>
              <w:autoSpaceDE w:val="0"/>
              <w:autoSpaceDN w:val="0"/>
              <w:adjustRightInd w:val="0"/>
              <w:spacing w:before="120"/>
              <w:jc w:val="center"/>
              <w:textAlignment w:val="baseline"/>
              <w:outlineLvl w:val="8"/>
              <w:rPr>
                <w:rFonts w:ascii="Times New Roman" w:hAnsi="Times New Roman" w:cs="Arial"/>
                <w:sz w:val="24"/>
                <w:szCs w:val="22"/>
              </w:rPr>
            </w:pPr>
          </w:p>
        </w:tc>
      </w:tr>
      <w:tr w:rsidR="00685365" w14:paraId="73D6840C" w14:textId="77777777" w:rsidTr="0093780B">
        <w:trPr>
          <w:trHeight w:val="269"/>
          <w:jc w:val="center"/>
        </w:trPr>
        <w:tc>
          <w:tcPr>
            <w:tcW w:w="4807" w:type="dxa"/>
          </w:tcPr>
          <w:p w14:paraId="2CFAC1DE" w14:textId="77777777" w:rsidR="00685365" w:rsidRPr="002C207B" w:rsidRDefault="00685365" w:rsidP="0093780B">
            <w:pPr>
              <w:tabs>
                <w:tab w:val="left" w:pos="728"/>
                <w:tab w:val="left" w:pos="1430"/>
                <w:tab w:val="left" w:pos="2158"/>
              </w:tabs>
              <w:overflowPunct w:val="0"/>
              <w:autoSpaceDE w:val="0"/>
              <w:autoSpaceDN w:val="0"/>
              <w:adjustRightInd w:val="0"/>
              <w:textAlignment w:val="baseline"/>
              <w:outlineLvl w:val="8"/>
              <w:rPr>
                <w:rFonts w:ascii="Times New Roman" w:hAnsi="Times New Roman" w:cs="Arial"/>
                <w:sz w:val="24"/>
                <w:szCs w:val="22"/>
              </w:rPr>
            </w:pPr>
            <w:r w:rsidRPr="002C207B">
              <w:rPr>
                <w:rFonts w:cs="Arial"/>
                <w:szCs w:val="22"/>
              </w:rPr>
              <w:t>Recommended ROE</w:t>
            </w:r>
          </w:p>
        </w:tc>
        <w:tc>
          <w:tcPr>
            <w:tcW w:w="1938" w:type="dxa"/>
          </w:tcPr>
          <w:p w14:paraId="2AEC380B"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r>
              <w:rPr>
                <w:rFonts w:cs="Arial"/>
                <w:szCs w:val="22"/>
              </w:rPr>
              <w:t>10.30</w:t>
            </w:r>
            <w:r w:rsidRPr="002C207B">
              <w:rPr>
                <w:rFonts w:cs="Arial"/>
                <w:szCs w:val="22"/>
              </w:rPr>
              <w:t>%</w:t>
            </w:r>
          </w:p>
        </w:tc>
        <w:tc>
          <w:tcPr>
            <w:tcW w:w="1980" w:type="dxa"/>
          </w:tcPr>
          <w:p w14:paraId="432EC208"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highlight w:val="yellow"/>
              </w:rPr>
            </w:pPr>
            <w:r w:rsidRPr="00B315BA">
              <w:rPr>
                <w:rFonts w:cs="Arial"/>
                <w:szCs w:val="22"/>
              </w:rPr>
              <w:t>9.20%</w:t>
            </w:r>
          </w:p>
        </w:tc>
      </w:tr>
      <w:tr w:rsidR="00685365" w14:paraId="0FFDB448" w14:textId="77777777" w:rsidTr="0093780B">
        <w:trPr>
          <w:trHeight w:val="269"/>
          <w:jc w:val="center"/>
        </w:trPr>
        <w:tc>
          <w:tcPr>
            <w:tcW w:w="4807" w:type="dxa"/>
          </w:tcPr>
          <w:p w14:paraId="0794A3B8" w14:textId="77777777" w:rsidR="00685365" w:rsidRPr="002C207B" w:rsidRDefault="00685365" w:rsidP="0093780B">
            <w:pPr>
              <w:tabs>
                <w:tab w:val="left" w:pos="728"/>
                <w:tab w:val="left" w:pos="1430"/>
                <w:tab w:val="left" w:pos="2158"/>
              </w:tabs>
              <w:overflowPunct w:val="0"/>
              <w:autoSpaceDE w:val="0"/>
              <w:autoSpaceDN w:val="0"/>
              <w:adjustRightInd w:val="0"/>
              <w:textAlignment w:val="baseline"/>
              <w:outlineLvl w:val="8"/>
              <w:rPr>
                <w:rFonts w:ascii="Times New Roman" w:hAnsi="Times New Roman" w:cs="Arial"/>
                <w:sz w:val="24"/>
                <w:szCs w:val="22"/>
              </w:rPr>
            </w:pPr>
          </w:p>
        </w:tc>
        <w:tc>
          <w:tcPr>
            <w:tcW w:w="1938" w:type="dxa"/>
          </w:tcPr>
          <w:p w14:paraId="6C5977EC"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p>
        </w:tc>
        <w:tc>
          <w:tcPr>
            <w:tcW w:w="1980" w:type="dxa"/>
          </w:tcPr>
          <w:p w14:paraId="3F5A8DC6" w14:textId="77777777" w:rsidR="00685365" w:rsidRPr="002C207B" w:rsidRDefault="00685365" w:rsidP="0093780B">
            <w:pPr>
              <w:tabs>
                <w:tab w:val="left" w:pos="728"/>
                <w:tab w:val="left" w:pos="1430"/>
                <w:tab w:val="left" w:pos="2158"/>
              </w:tabs>
              <w:overflowPunct w:val="0"/>
              <w:autoSpaceDE w:val="0"/>
              <w:autoSpaceDN w:val="0"/>
              <w:adjustRightInd w:val="0"/>
              <w:jc w:val="center"/>
              <w:textAlignment w:val="baseline"/>
              <w:outlineLvl w:val="8"/>
              <w:rPr>
                <w:rFonts w:ascii="Times New Roman" w:hAnsi="Times New Roman" w:cs="Arial"/>
                <w:sz w:val="24"/>
                <w:szCs w:val="22"/>
              </w:rPr>
            </w:pPr>
          </w:p>
        </w:tc>
      </w:tr>
      <w:tr w:rsidR="00685365" w14:paraId="0DCF0110" w14:textId="77777777" w:rsidTr="0093780B">
        <w:trPr>
          <w:trHeight w:val="269"/>
          <w:jc w:val="center"/>
        </w:trPr>
        <w:tc>
          <w:tcPr>
            <w:tcW w:w="8725" w:type="dxa"/>
            <w:gridSpan w:val="3"/>
          </w:tcPr>
          <w:p w14:paraId="12F9EF59" w14:textId="77777777" w:rsidR="00685365" w:rsidRPr="002C207B" w:rsidRDefault="00685365" w:rsidP="0093780B">
            <w:pPr>
              <w:tabs>
                <w:tab w:val="left" w:pos="728"/>
                <w:tab w:val="left" w:pos="1430"/>
                <w:tab w:val="left" w:pos="2158"/>
              </w:tabs>
              <w:overflowPunct w:val="0"/>
              <w:autoSpaceDE w:val="0"/>
              <w:autoSpaceDN w:val="0"/>
              <w:adjustRightInd w:val="0"/>
              <w:spacing w:before="120" w:after="120"/>
              <w:textAlignment w:val="baseline"/>
              <w:outlineLvl w:val="8"/>
              <w:rPr>
                <w:rFonts w:cs="Arial"/>
                <w:szCs w:val="22"/>
              </w:rPr>
            </w:pPr>
            <w:r w:rsidRPr="002C207B">
              <w:rPr>
                <w:rFonts w:ascii="Times New Roman" w:hAnsi="Times New Roman" w:cs="Arial"/>
                <w:noProof/>
                <w:sz w:val="24"/>
                <w:szCs w:val="22"/>
              </w:rPr>
              <mc:AlternateContent>
                <mc:Choice Requires="wps">
                  <w:drawing>
                    <wp:anchor distT="0" distB="0" distL="114300" distR="114300" simplePos="0" relativeHeight="251660288" behindDoc="0" locked="0" layoutInCell="1" allowOverlap="1" wp14:anchorId="0CB9830F" wp14:editId="43E58B46">
                      <wp:simplePos x="0" y="0"/>
                      <wp:positionH relativeFrom="column">
                        <wp:posOffset>10160</wp:posOffset>
                      </wp:positionH>
                      <wp:positionV relativeFrom="paragraph">
                        <wp:posOffset>31750</wp:posOffset>
                      </wp:positionV>
                      <wp:extent cx="1809750" cy="0"/>
                      <wp:effectExtent l="9525" t="9525" r="9525" b="9525"/>
                      <wp:wrapNone/>
                      <wp:docPr id="3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2C4157" id="AutoShape 2" o:spid="_x0000_s1026" type="#_x0000_t32" style="position:absolute;margin-left:.8pt;margin-top:2.5pt;width:142.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aor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"/>
                  </w:pict>
                </mc:Fallback>
              </mc:AlternateContent>
            </w:r>
            <w:r>
              <w:rPr>
                <w:rFonts w:cs="Arial"/>
                <w:szCs w:val="22"/>
              </w:rPr>
              <w:t xml:space="preserve">Sources: </w:t>
            </w:r>
            <w:r w:rsidRPr="002C207B">
              <w:rPr>
                <w:rFonts w:cs="Arial"/>
                <w:szCs w:val="22"/>
                <w:vertAlign w:val="superscript"/>
              </w:rPr>
              <w:t>1</w:t>
            </w:r>
            <w:r w:rsidRPr="002C207B">
              <w:rPr>
                <w:rFonts w:cs="Arial"/>
                <w:szCs w:val="22"/>
              </w:rPr>
              <w:t xml:space="preserve">Nelson Direct Testimony at </w:t>
            </w:r>
            <w:r>
              <w:rPr>
                <w:rFonts w:cs="Arial"/>
                <w:szCs w:val="22"/>
              </w:rPr>
              <w:t>3-</w:t>
            </w:r>
            <w:r w:rsidRPr="002C207B">
              <w:rPr>
                <w:rFonts w:cs="Arial"/>
                <w:szCs w:val="22"/>
              </w:rPr>
              <w:t>4 and Exhibit JEN-1 thought JEN-</w:t>
            </w:r>
            <w:r>
              <w:rPr>
                <w:rFonts w:cs="Arial"/>
                <w:szCs w:val="22"/>
              </w:rPr>
              <w:t>8</w:t>
            </w:r>
            <w:r w:rsidRPr="002C207B">
              <w:rPr>
                <w:rFonts w:cs="Arial"/>
                <w:szCs w:val="22"/>
              </w:rPr>
              <w:t>.</w:t>
            </w:r>
          </w:p>
          <w:p w14:paraId="195FDDDC" w14:textId="77777777" w:rsidR="00685365" w:rsidRPr="002C207B" w:rsidRDefault="00685365" w:rsidP="0093780B">
            <w:pPr>
              <w:tabs>
                <w:tab w:val="left" w:pos="728"/>
                <w:tab w:val="left" w:pos="1430"/>
                <w:tab w:val="left" w:pos="2158"/>
              </w:tabs>
              <w:overflowPunct w:val="0"/>
              <w:autoSpaceDE w:val="0"/>
              <w:autoSpaceDN w:val="0"/>
              <w:adjustRightInd w:val="0"/>
              <w:spacing w:before="120" w:after="120"/>
              <w:textAlignment w:val="baseline"/>
              <w:outlineLvl w:val="8"/>
              <w:rPr>
                <w:rFonts w:cs="Arial"/>
                <w:szCs w:val="22"/>
              </w:rPr>
            </w:pPr>
            <w:r w:rsidRPr="002C207B">
              <w:rPr>
                <w:rFonts w:cs="Arial"/>
                <w:szCs w:val="22"/>
              </w:rPr>
              <w:t xml:space="preserve">               </w:t>
            </w:r>
            <w:r w:rsidRPr="006D4A20">
              <w:rPr>
                <w:rFonts w:cs="Arial"/>
                <w:szCs w:val="22"/>
                <w:vertAlign w:val="superscript"/>
              </w:rPr>
              <w:t>2</w:t>
            </w:r>
            <w:r w:rsidRPr="006D4A20">
              <w:rPr>
                <w:rFonts w:cs="Arial"/>
                <w:szCs w:val="22"/>
              </w:rPr>
              <w:t>The near-term yield reflects the six quarters ending Q3, 2022 and the long-term yields for the 5-10 year periods ending 2026 and 2031.</w:t>
            </w:r>
          </w:p>
        </w:tc>
      </w:tr>
    </w:tbl>
    <w:p w14:paraId="596888DF" w14:textId="77777777" w:rsidR="00685365" w:rsidRPr="002C207B" w:rsidRDefault="00685365" w:rsidP="00685365">
      <w:pPr>
        <w:overflowPunct w:val="0"/>
        <w:autoSpaceDE w:val="0"/>
        <w:autoSpaceDN w:val="0"/>
        <w:adjustRightInd w:val="0"/>
        <w:spacing w:before="240" w:line="480" w:lineRule="auto"/>
        <w:ind w:left="728" w:hanging="728"/>
        <w:jc w:val="both"/>
        <w:textAlignment w:val="baseline"/>
        <w:rPr>
          <w:rFonts w:cs="Arial"/>
          <w:szCs w:val="22"/>
        </w:rPr>
      </w:pPr>
      <w:r w:rsidRPr="002C207B">
        <w:rPr>
          <w:rFonts w:cs="Arial"/>
          <w:szCs w:val="22"/>
        </w:rPr>
        <w:tab/>
      </w:r>
      <w:r w:rsidRPr="002C207B">
        <w:rPr>
          <w:rFonts w:cs="Arial"/>
          <w:szCs w:val="22"/>
        </w:rPr>
        <w:tab/>
        <w:t xml:space="preserve">As shown in Table </w:t>
      </w:r>
      <w:r>
        <w:rPr>
          <w:rFonts w:cs="Arial"/>
          <w:szCs w:val="22"/>
        </w:rPr>
        <w:t>8</w:t>
      </w:r>
      <w:r w:rsidRPr="002C207B">
        <w:rPr>
          <w:rFonts w:cs="Arial"/>
          <w:szCs w:val="22"/>
        </w:rPr>
        <w:t xml:space="preserve"> above, corrections and improvements to the accuracy of Ms. Nelson</w:t>
      </w:r>
      <w:r>
        <w:rPr>
          <w:rFonts w:cs="Arial"/>
          <w:szCs w:val="22"/>
        </w:rPr>
        <w:t>’</w:t>
      </w:r>
      <w:r w:rsidRPr="002C207B">
        <w:rPr>
          <w:rFonts w:cs="Arial"/>
          <w:szCs w:val="22"/>
        </w:rPr>
        <w:t xml:space="preserve">s return on equity estimates support a return on equity for </w:t>
      </w:r>
      <w:proofErr w:type="spellStart"/>
      <w:r>
        <w:rPr>
          <w:rFonts w:cs="Arial"/>
          <w:szCs w:val="22"/>
        </w:rPr>
        <w:t>EPE</w:t>
      </w:r>
      <w:proofErr w:type="spellEnd"/>
      <w:r w:rsidRPr="002C207B">
        <w:rPr>
          <w:rFonts w:cs="Arial"/>
          <w:szCs w:val="22"/>
        </w:rPr>
        <w:t xml:space="preserve"> of no higher than </w:t>
      </w:r>
      <w:r>
        <w:rPr>
          <w:rFonts w:cs="Arial"/>
          <w:szCs w:val="22"/>
        </w:rPr>
        <w:t>9.20</w:t>
      </w:r>
      <w:r w:rsidRPr="002C207B">
        <w:rPr>
          <w:rFonts w:cs="Arial"/>
          <w:szCs w:val="22"/>
        </w:rPr>
        <w:t>% in the current market.</w:t>
      </w:r>
    </w:p>
    <w:p w14:paraId="1A57A67C" w14:textId="77777777" w:rsidR="00685365" w:rsidRPr="002C207B" w:rsidRDefault="00685365" w:rsidP="00685365">
      <w:pPr>
        <w:overflowPunct w:val="0"/>
        <w:autoSpaceDE w:val="0"/>
        <w:autoSpaceDN w:val="0"/>
        <w:adjustRightInd w:val="0"/>
        <w:spacing w:line="480" w:lineRule="auto"/>
        <w:ind w:left="728" w:hanging="728"/>
        <w:jc w:val="both"/>
        <w:textAlignment w:val="baseline"/>
        <w:rPr>
          <w:rFonts w:cs="Arial"/>
          <w:szCs w:val="22"/>
        </w:rPr>
      </w:pPr>
      <w:r w:rsidRPr="002C207B">
        <w:rPr>
          <w:rFonts w:cs="Arial"/>
          <w:szCs w:val="22"/>
        </w:rPr>
        <w:tab/>
      </w:r>
      <w:r w:rsidRPr="002C207B">
        <w:rPr>
          <w:rFonts w:cs="Arial"/>
          <w:szCs w:val="22"/>
        </w:rPr>
        <w:tab/>
        <w:t xml:space="preserve">While my adjustments are presented in Adjusted Column 2 of Table </w:t>
      </w:r>
      <w:r>
        <w:rPr>
          <w:rFonts w:cs="Arial"/>
          <w:szCs w:val="22"/>
        </w:rPr>
        <w:t>8</w:t>
      </w:r>
      <w:r w:rsidRPr="002C207B">
        <w:rPr>
          <w:rFonts w:cs="Arial"/>
          <w:szCs w:val="22"/>
        </w:rPr>
        <w:t xml:space="preserve"> above, a description of the bases for my adjustments to Ms. Nelson</w:t>
      </w:r>
      <w:r>
        <w:rPr>
          <w:rFonts w:cs="Arial"/>
          <w:szCs w:val="22"/>
        </w:rPr>
        <w:t>’</w:t>
      </w:r>
      <w:r w:rsidRPr="002C207B">
        <w:rPr>
          <w:rFonts w:cs="Arial"/>
          <w:szCs w:val="22"/>
        </w:rPr>
        <w:t xml:space="preserve">s return on equity estimates is presented below.  </w:t>
      </w:r>
    </w:p>
    <w:p w14:paraId="5A8D0D55" w14:textId="77777777" w:rsidR="00685365" w:rsidRPr="002C207B" w:rsidRDefault="00685365" w:rsidP="00685365">
      <w:pPr>
        <w:pStyle w:val="Heading2"/>
      </w:pPr>
      <w:bookmarkStart w:id="94" w:name="_Toc63936869"/>
      <w:bookmarkStart w:id="95" w:name="_Toc85028738"/>
      <w:r>
        <w:lastRenderedPageBreak/>
        <w:t>V.</w:t>
      </w:r>
      <w:r w:rsidRPr="002C207B">
        <w:t xml:space="preserve">A.  Reliability of DCF and </w:t>
      </w:r>
      <w:proofErr w:type="spellStart"/>
      <w:r w:rsidRPr="002C207B">
        <w:t>CAPM</w:t>
      </w:r>
      <w:proofErr w:type="spellEnd"/>
      <w:r w:rsidRPr="002C207B">
        <w:t xml:space="preserve"> Return Estimates</w:t>
      </w:r>
      <w:bookmarkEnd w:id="94"/>
      <w:bookmarkEnd w:id="95"/>
    </w:p>
    <w:p w14:paraId="70454A9F" w14:textId="77777777" w:rsidR="00685365" w:rsidRPr="002C207B" w:rsidRDefault="00685365" w:rsidP="00685365">
      <w:pPr>
        <w:keepNext/>
        <w:spacing w:line="480" w:lineRule="auto"/>
        <w:ind w:left="720" w:hanging="720"/>
        <w:jc w:val="both"/>
        <w:rPr>
          <w:rFonts w:cs="Arial"/>
          <w:b/>
          <w:bCs/>
          <w:caps/>
          <w:szCs w:val="22"/>
        </w:rPr>
      </w:pPr>
      <w:r w:rsidRPr="002C207B">
        <w:rPr>
          <w:rFonts w:cs="Arial"/>
          <w:b/>
          <w:bCs/>
          <w:caps/>
          <w:szCs w:val="22"/>
        </w:rPr>
        <w:t>Q</w:t>
      </w:r>
      <w:r w:rsidRPr="002C207B">
        <w:rPr>
          <w:rFonts w:cs="Arial"/>
          <w:b/>
          <w:bCs/>
          <w:caps/>
          <w:szCs w:val="22"/>
        </w:rPr>
        <w:tab/>
        <w:t xml:space="preserve">DOES MS. NELSON COMMENT ON THE RELIABILITY OF MARKET-BASED MODELS TO MEASURE A FAIR RETURN ON EQUITY FOR </w:t>
      </w:r>
      <w:proofErr w:type="spellStart"/>
      <w:r>
        <w:rPr>
          <w:rFonts w:cs="Arial"/>
          <w:b/>
          <w:bCs/>
          <w:caps/>
          <w:szCs w:val="22"/>
        </w:rPr>
        <w:t>EPE</w:t>
      </w:r>
      <w:proofErr w:type="spellEnd"/>
      <w:r w:rsidRPr="002C207B">
        <w:rPr>
          <w:rFonts w:cs="Arial"/>
          <w:b/>
          <w:bCs/>
          <w:caps/>
          <w:szCs w:val="22"/>
        </w:rPr>
        <w:t>?</w:t>
      </w:r>
    </w:p>
    <w:p w14:paraId="2D4CA050" w14:textId="77777777" w:rsidR="00685365" w:rsidRPr="002C207B" w:rsidRDefault="00685365" w:rsidP="00685365">
      <w:pPr>
        <w:overflowPunct w:val="0"/>
        <w:autoSpaceDE w:val="0"/>
        <w:autoSpaceDN w:val="0"/>
        <w:adjustRightInd w:val="0"/>
        <w:spacing w:line="480" w:lineRule="auto"/>
        <w:ind w:left="720" w:hanging="720"/>
        <w:jc w:val="both"/>
        <w:textAlignment w:val="baseline"/>
        <w:rPr>
          <w:rFonts w:cs="Arial"/>
          <w:szCs w:val="22"/>
        </w:rPr>
      </w:pPr>
      <w:r w:rsidRPr="002C207B">
        <w:rPr>
          <w:rFonts w:cs="Arial"/>
          <w:szCs w:val="22"/>
        </w:rPr>
        <w:t>A</w:t>
      </w:r>
      <w:r w:rsidRPr="002C207B">
        <w:rPr>
          <w:rFonts w:cs="Arial"/>
          <w:szCs w:val="22"/>
        </w:rPr>
        <w:tab/>
        <w:t xml:space="preserve">Yes.  Ms. Nelson opines </w:t>
      </w:r>
      <w:r>
        <w:rPr>
          <w:rFonts w:cs="Arial"/>
          <w:szCs w:val="22"/>
        </w:rPr>
        <w:t>that the traditional DCF analyse</w:t>
      </w:r>
      <w:r w:rsidRPr="002C207B">
        <w:rPr>
          <w:rFonts w:cs="Arial"/>
          <w:szCs w:val="22"/>
        </w:rPr>
        <w:t>s are not producing reasonable results at this time due to the current capital market conditions and should be considered</w:t>
      </w:r>
      <w:r>
        <w:rPr>
          <w:rFonts w:cs="Arial"/>
          <w:szCs w:val="22"/>
        </w:rPr>
        <w:t xml:space="preserve"> with caution</w:t>
      </w:r>
      <w:r w:rsidRPr="002C207B">
        <w:rPr>
          <w:rFonts w:cs="Arial"/>
          <w:szCs w:val="22"/>
        </w:rPr>
        <w:t>.  She goes on to state that current market conditions reflect a low interest rate environment, which affects security dividend yields and valuations relative to historical levels</w:t>
      </w:r>
      <w:r>
        <w:rPr>
          <w:rFonts w:cs="Arial"/>
          <w:szCs w:val="22"/>
        </w:rPr>
        <w:t xml:space="preserve"> and concludes that the DCF results should be given less weight than other models in determining the fair return on equity for </w:t>
      </w:r>
      <w:proofErr w:type="spellStart"/>
      <w:r>
        <w:rPr>
          <w:rFonts w:cs="Arial"/>
          <w:szCs w:val="22"/>
        </w:rPr>
        <w:t>EPE</w:t>
      </w:r>
      <w:proofErr w:type="spellEnd"/>
      <w:r w:rsidRPr="002C207B">
        <w:rPr>
          <w:rFonts w:cs="Arial"/>
          <w:szCs w:val="22"/>
        </w:rPr>
        <w:t>.</w:t>
      </w:r>
      <w:r>
        <w:rPr>
          <w:rFonts w:cs="Arial"/>
          <w:szCs w:val="22"/>
          <w:vertAlign w:val="superscript"/>
        </w:rPr>
        <w:footnoteReference w:id="45"/>
      </w:r>
      <w:r w:rsidRPr="002C207B">
        <w:rPr>
          <w:rFonts w:cs="Arial"/>
          <w:szCs w:val="22"/>
        </w:rPr>
        <w:t xml:space="preserve">  </w:t>
      </w:r>
      <w:r>
        <w:rPr>
          <w:rFonts w:cs="Arial"/>
          <w:szCs w:val="22"/>
        </w:rPr>
        <w:t>She also opines that interest rates are expected to increase.</w:t>
      </w:r>
      <w:r>
        <w:rPr>
          <w:rStyle w:val="FootnoteReference"/>
          <w:rFonts w:cs="Arial"/>
          <w:szCs w:val="22"/>
        </w:rPr>
        <w:footnoteReference w:id="46"/>
      </w:r>
    </w:p>
    <w:p w14:paraId="6FAEDBED" w14:textId="77777777" w:rsidR="00685365" w:rsidRPr="002C207B" w:rsidRDefault="00685365" w:rsidP="00685365">
      <w:pPr>
        <w:keepNext/>
        <w:keepLines/>
        <w:suppressLineNumbers/>
        <w:spacing w:line="480" w:lineRule="auto"/>
        <w:ind w:left="720" w:hanging="720"/>
        <w:jc w:val="both"/>
        <w:rPr>
          <w:rFonts w:cs="Arial"/>
          <w:caps/>
          <w:szCs w:val="22"/>
        </w:rPr>
      </w:pPr>
    </w:p>
    <w:p w14:paraId="2237FC26" w14:textId="77777777" w:rsidR="00685365" w:rsidRPr="002C207B" w:rsidRDefault="00685365" w:rsidP="00685365">
      <w:pPr>
        <w:spacing w:line="480" w:lineRule="auto"/>
        <w:ind w:left="720" w:hanging="720"/>
        <w:jc w:val="both"/>
        <w:rPr>
          <w:rFonts w:cs="Arial"/>
          <w:b/>
          <w:bCs/>
          <w:caps/>
          <w:szCs w:val="22"/>
        </w:rPr>
      </w:pPr>
      <w:r w:rsidRPr="002C207B">
        <w:rPr>
          <w:rFonts w:cs="Arial"/>
          <w:b/>
          <w:bCs/>
          <w:caps/>
          <w:szCs w:val="22"/>
        </w:rPr>
        <w:t>Q</w:t>
      </w:r>
      <w:r w:rsidRPr="002C207B">
        <w:rPr>
          <w:rFonts w:cs="Arial"/>
          <w:b/>
          <w:bCs/>
          <w:caps/>
          <w:szCs w:val="22"/>
        </w:rPr>
        <w:tab/>
        <w:t>HAS MS. NELSON IDENTIFIED ANYTHING DIFFERENT IN THIS CASE TO DISTINGUISH THE PROJECTIONS THAT HAVE BEEN OFFERED OVER THE LAST FIVE TO TEN YEARS, BUT HAVE YET TO PAN OUT?</w:t>
      </w:r>
    </w:p>
    <w:p w14:paraId="58D10AC1" w14:textId="77777777" w:rsidR="00685365" w:rsidRPr="002C207B" w:rsidRDefault="00685365" w:rsidP="00685365">
      <w:pPr>
        <w:overflowPunct w:val="0"/>
        <w:autoSpaceDE w:val="0"/>
        <w:autoSpaceDN w:val="0"/>
        <w:adjustRightInd w:val="0"/>
        <w:spacing w:line="480" w:lineRule="auto"/>
        <w:ind w:left="720" w:hanging="720"/>
        <w:jc w:val="both"/>
        <w:textAlignment w:val="baseline"/>
        <w:rPr>
          <w:rFonts w:cs="Arial"/>
          <w:szCs w:val="22"/>
        </w:rPr>
      </w:pPr>
      <w:r w:rsidRPr="002C207B">
        <w:rPr>
          <w:rFonts w:cs="Arial"/>
          <w:szCs w:val="22"/>
        </w:rPr>
        <w:t>A</w:t>
      </w:r>
      <w:r w:rsidRPr="002C207B">
        <w:rPr>
          <w:rFonts w:cs="Arial"/>
          <w:szCs w:val="22"/>
        </w:rPr>
        <w:tab/>
        <w:t>No.  As explained in more detail later, economists have consistently been projecting increases in interest rates relative to current observable in</w:t>
      </w:r>
      <w:r>
        <w:rPr>
          <w:rFonts w:cs="Arial"/>
          <w:szCs w:val="22"/>
        </w:rPr>
        <w:t xml:space="preserve">terest rates over </w:t>
      </w:r>
      <w:r w:rsidRPr="002C207B">
        <w:rPr>
          <w:rFonts w:cs="Arial"/>
          <w:szCs w:val="22"/>
        </w:rPr>
        <w:t xml:space="preserve">the last </w:t>
      </w:r>
      <w:r>
        <w:rPr>
          <w:rFonts w:cs="Arial"/>
          <w:szCs w:val="22"/>
        </w:rPr>
        <w:t>several</w:t>
      </w:r>
      <w:r w:rsidRPr="002C207B">
        <w:rPr>
          <w:rFonts w:cs="Arial"/>
          <w:szCs w:val="22"/>
        </w:rPr>
        <w:t xml:space="preserve"> years.  However, those projections for increased interest rates have turned out to be inaccurate.  Instead, interest rates have remained relatively stable and at low levels for approximately the last five to ten years.  Also, I show that projections for interest rates over the next five to ten years have been moderated by independent consensus economists.  This is clear evidence that today</w:t>
      </w:r>
      <w:r>
        <w:rPr>
          <w:rFonts w:cs="Arial"/>
          <w:szCs w:val="22"/>
        </w:rPr>
        <w:t>’</w:t>
      </w:r>
      <w:r w:rsidRPr="002C207B">
        <w:rPr>
          <w:rFonts w:cs="Arial"/>
          <w:szCs w:val="22"/>
        </w:rPr>
        <w:t xml:space="preserve">s market is embracing the sustainability of relatively low capital market costs in the current market relative to what independent economists have projected in prior periods.  A comparison of the components of the DCF return for utilities generally to other income return investment </w:t>
      </w:r>
      <w:r w:rsidRPr="002C207B">
        <w:rPr>
          <w:rFonts w:cs="Arial"/>
          <w:szCs w:val="22"/>
        </w:rPr>
        <w:lastRenderedPageBreak/>
        <w:t>options and growth investment options shows that the results of DCF models are producing reliable and accurate estimates of the current market cost for utility companies.</w:t>
      </w:r>
    </w:p>
    <w:p w14:paraId="66967CDB" w14:textId="77777777" w:rsidR="00685365" w:rsidRPr="002C207B" w:rsidRDefault="00685365" w:rsidP="00685365">
      <w:pPr>
        <w:keepNext/>
        <w:keepLines/>
        <w:suppressLineNumbers/>
        <w:spacing w:line="480" w:lineRule="auto"/>
        <w:ind w:left="720" w:hanging="720"/>
        <w:jc w:val="both"/>
        <w:rPr>
          <w:rFonts w:cs="Arial"/>
          <w:caps/>
          <w:szCs w:val="22"/>
        </w:rPr>
      </w:pPr>
    </w:p>
    <w:p w14:paraId="3640C93B" w14:textId="77777777" w:rsidR="00685365" w:rsidRPr="002C207B" w:rsidRDefault="00685365" w:rsidP="00685365">
      <w:pPr>
        <w:spacing w:line="480" w:lineRule="auto"/>
        <w:ind w:left="720" w:hanging="720"/>
        <w:jc w:val="both"/>
        <w:rPr>
          <w:rFonts w:cs="Arial"/>
          <w:b/>
          <w:bCs/>
          <w:caps/>
          <w:szCs w:val="22"/>
        </w:rPr>
      </w:pPr>
      <w:r w:rsidRPr="002C207B">
        <w:rPr>
          <w:rFonts w:cs="Arial"/>
          <w:b/>
          <w:bCs/>
          <w:caps/>
          <w:szCs w:val="22"/>
        </w:rPr>
        <w:t>Q</w:t>
      </w:r>
      <w:r w:rsidRPr="002C207B">
        <w:rPr>
          <w:rFonts w:cs="Arial"/>
          <w:b/>
          <w:bCs/>
          <w:caps/>
          <w:szCs w:val="22"/>
        </w:rPr>
        <w:tab/>
        <w:t xml:space="preserve">PLEASE EXPLAIN WHY YOU BELIEVE THE DCF MODEL IS PRODUCING RELIABLE RESULTS FOR UTILITY COMPANIES WHEN THE DCF RETURN COMPONENT IS COMPARED TO ALTERNATIVE INVESTMENTS. </w:t>
      </w:r>
    </w:p>
    <w:p w14:paraId="6E74B6F2" w14:textId="77777777" w:rsidR="00685365" w:rsidRPr="002C207B" w:rsidRDefault="00685365" w:rsidP="00685365">
      <w:pPr>
        <w:overflowPunct w:val="0"/>
        <w:autoSpaceDE w:val="0"/>
        <w:autoSpaceDN w:val="0"/>
        <w:adjustRightInd w:val="0"/>
        <w:spacing w:line="480" w:lineRule="auto"/>
        <w:ind w:left="720" w:hanging="720"/>
        <w:jc w:val="both"/>
        <w:textAlignment w:val="baseline"/>
        <w:rPr>
          <w:rFonts w:cs="Arial"/>
          <w:szCs w:val="22"/>
        </w:rPr>
      </w:pPr>
      <w:r>
        <w:rPr>
          <w:rFonts w:cs="Arial"/>
          <w:szCs w:val="22"/>
        </w:rPr>
        <w:t>A</w:t>
      </w:r>
      <w:r>
        <w:rPr>
          <w:rFonts w:cs="Arial"/>
          <w:szCs w:val="22"/>
        </w:rPr>
        <w:tab/>
        <w:t>T</w:t>
      </w:r>
      <w:r w:rsidRPr="002C207B">
        <w:rPr>
          <w:rFonts w:cs="Arial"/>
          <w:szCs w:val="22"/>
        </w:rPr>
        <w:t xml:space="preserve">he DCF model is producing an economically logical estimate of the current market cost of equity and a return that is comparable with observable returns in alternative investments of comparable risk.  The DCF model sums the observable dividend yield on utility stocks and then adds to that an estimate of expected growth.  These two components yield DCF returns that can be compared to alternative investments to demonstrate their reasonableness.  </w:t>
      </w:r>
    </w:p>
    <w:p w14:paraId="0E9B4BF1" w14:textId="77777777" w:rsidR="00685365" w:rsidRPr="002C207B" w:rsidRDefault="00685365" w:rsidP="00685365">
      <w:pPr>
        <w:overflowPunct w:val="0"/>
        <w:autoSpaceDE w:val="0"/>
        <w:autoSpaceDN w:val="0"/>
        <w:adjustRightInd w:val="0"/>
        <w:spacing w:line="480" w:lineRule="auto"/>
        <w:ind w:left="720" w:firstLine="720"/>
        <w:jc w:val="both"/>
        <w:textAlignment w:val="baseline"/>
        <w:rPr>
          <w:rFonts w:cs="Arial"/>
          <w:szCs w:val="22"/>
        </w:rPr>
      </w:pPr>
      <w:r w:rsidRPr="002C207B">
        <w:rPr>
          <w:rFonts w:cs="Arial"/>
          <w:szCs w:val="22"/>
        </w:rPr>
        <w:t>The current dividend yield</w:t>
      </w:r>
      <w:r>
        <w:rPr>
          <w:rFonts w:cs="Arial"/>
          <w:szCs w:val="22"/>
        </w:rPr>
        <w:t xml:space="preserve"> of electric utility stock (3.59</w:t>
      </w:r>
      <w:r w:rsidRPr="002C207B">
        <w:rPr>
          <w:rFonts w:cs="Arial"/>
          <w:szCs w:val="22"/>
        </w:rPr>
        <w:t xml:space="preserve">%) is higher but comparable to the yield on </w:t>
      </w:r>
      <w:r>
        <w:rPr>
          <w:rFonts w:cs="Arial"/>
          <w:szCs w:val="22"/>
        </w:rPr>
        <w:t>“</w:t>
      </w:r>
      <w:r w:rsidRPr="002C207B">
        <w:rPr>
          <w:rFonts w:cs="Arial"/>
          <w:szCs w:val="22"/>
        </w:rPr>
        <w:t>A</w:t>
      </w:r>
      <w:r>
        <w:rPr>
          <w:rFonts w:cs="Arial"/>
          <w:szCs w:val="22"/>
        </w:rPr>
        <w:t>”</w:t>
      </w:r>
      <w:r w:rsidRPr="002C207B">
        <w:rPr>
          <w:rFonts w:cs="Arial"/>
          <w:szCs w:val="22"/>
        </w:rPr>
        <w:t xml:space="preserve"> rated utility bonds (3.</w:t>
      </w:r>
      <w:r>
        <w:rPr>
          <w:rFonts w:cs="Arial"/>
          <w:szCs w:val="22"/>
        </w:rPr>
        <w:t>14</w:t>
      </w:r>
      <w:r w:rsidRPr="002C207B">
        <w:rPr>
          <w:rFonts w:cs="Arial"/>
          <w:szCs w:val="22"/>
        </w:rPr>
        <w:t xml:space="preserve">%) as shown my </w:t>
      </w:r>
      <w:r w:rsidRPr="00E92E03">
        <w:rPr>
          <w:rFonts w:cs="Arial"/>
          <w:szCs w:val="22"/>
        </w:rPr>
        <w:t>Exhibit MPG</w:t>
      </w:r>
      <w:r w:rsidRPr="00E92E03">
        <w:rPr>
          <w:rFonts w:cs="Arial"/>
          <w:szCs w:val="22"/>
        </w:rPr>
        <w:noBreakHyphen/>
        <w:t>2</w:t>
      </w:r>
      <w:r>
        <w:rPr>
          <w:rFonts w:cs="Arial"/>
          <w:szCs w:val="22"/>
        </w:rPr>
        <w:t>, page 4</w:t>
      </w:r>
      <w:r w:rsidRPr="002C207B">
        <w:rPr>
          <w:rFonts w:cs="Arial"/>
          <w:szCs w:val="22"/>
        </w:rPr>
        <w:t>.  Because utility stock dividends can grow over time, and utility bond yield coupons are fixed, historically utility stock dividend yields are lower than observable utility bond yields.  The current yield spread of around -4</w:t>
      </w:r>
      <w:r>
        <w:rPr>
          <w:rFonts w:cs="Arial"/>
          <w:szCs w:val="22"/>
        </w:rPr>
        <w:t>5</w:t>
      </w:r>
      <w:r w:rsidRPr="002C207B">
        <w:rPr>
          <w:rFonts w:cs="Arial"/>
          <w:szCs w:val="22"/>
        </w:rPr>
        <w:t xml:space="preserve"> basis points is negligible, as described later in my testimony.  This relatively narrow spread between A-rated utility bonds and utility stock dividend yields is an indication that the yield component, or income component, on a utility stock is competitive with alternative income returns such as A-rated utility bond yields.  This is an indication that the yield component of a DCF return is comparable with alternative investments.</w:t>
      </w:r>
    </w:p>
    <w:p w14:paraId="76BD10EC" w14:textId="444E96DD" w:rsidR="00685365" w:rsidRPr="002C207B" w:rsidRDefault="00685365" w:rsidP="00685365">
      <w:pPr>
        <w:overflowPunct w:val="0"/>
        <w:autoSpaceDE w:val="0"/>
        <w:autoSpaceDN w:val="0"/>
        <w:adjustRightInd w:val="0"/>
        <w:spacing w:line="480" w:lineRule="auto"/>
        <w:ind w:left="720" w:firstLine="720"/>
        <w:jc w:val="both"/>
        <w:textAlignment w:val="baseline"/>
        <w:rPr>
          <w:rFonts w:cs="Arial"/>
          <w:szCs w:val="22"/>
        </w:rPr>
      </w:pPr>
      <w:r w:rsidRPr="002C207B">
        <w:rPr>
          <w:rFonts w:cs="Arial"/>
          <w:szCs w:val="22"/>
        </w:rPr>
        <w:t xml:space="preserve">Specifically, as shown on </w:t>
      </w:r>
      <w:r w:rsidRPr="00E92E03">
        <w:rPr>
          <w:rFonts w:cs="Arial"/>
          <w:szCs w:val="22"/>
        </w:rPr>
        <w:t>Exhibit MPG-2</w:t>
      </w:r>
      <w:r w:rsidRPr="002C207B">
        <w:rPr>
          <w:rFonts w:cs="Arial"/>
          <w:szCs w:val="22"/>
        </w:rPr>
        <w:t xml:space="preserve">, </w:t>
      </w:r>
      <w:r>
        <w:rPr>
          <w:rFonts w:cs="Arial"/>
          <w:szCs w:val="22"/>
        </w:rPr>
        <w:t xml:space="preserve">page 4, </w:t>
      </w:r>
      <w:r w:rsidRPr="002C207B">
        <w:rPr>
          <w:rFonts w:cs="Arial"/>
          <w:szCs w:val="22"/>
        </w:rPr>
        <w:t xml:space="preserve">the historical average yield spread between </w:t>
      </w:r>
      <w:r w:rsidR="008C4BD5">
        <w:rPr>
          <w:rFonts w:cs="Arial"/>
          <w:szCs w:val="22"/>
        </w:rPr>
        <w:t xml:space="preserve">A-rated </w:t>
      </w:r>
      <w:r w:rsidRPr="002C207B">
        <w:rPr>
          <w:rFonts w:cs="Arial"/>
          <w:szCs w:val="22"/>
        </w:rPr>
        <w:t>utility bonds and electric utility stock dividends has been 0.</w:t>
      </w:r>
      <w:r>
        <w:rPr>
          <w:rFonts w:cs="Arial"/>
          <w:szCs w:val="22"/>
        </w:rPr>
        <w:t>79</w:t>
      </w:r>
      <w:r w:rsidRPr="002C207B">
        <w:rPr>
          <w:rFonts w:cs="Arial"/>
          <w:szCs w:val="22"/>
        </w:rPr>
        <w:t>%, which is much higher than the current yield spread of -0.4</w:t>
      </w:r>
      <w:r>
        <w:rPr>
          <w:rFonts w:cs="Arial"/>
          <w:szCs w:val="22"/>
        </w:rPr>
        <w:t>5</w:t>
      </w:r>
      <w:r w:rsidRPr="002C207B">
        <w:rPr>
          <w:rFonts w:cs="Arial"/>
          <w:szCs w:val="22"/>
        </w:rPr>
        <w:t xml:space="preserve">% for electric utilities.  </w:t>
      </w:r>
      <w:r w:rsidRPr="002C207B">
        <w:rPr>
          <w:rFonts w:cs="Arial"/>
          <w:szCs w:val="22"/>
        </w:rPr>
        <w:lastRenderedPageBreak/>
        <w:t xml:space="preserve">This indicates the DCF income return on utility stocks (dividend yield) is competitive with the income return available on utility bond investments.  </w:t>
      </w:r>
    </w:p>
    <w:p w14:paraId="4E3F2CAA" w14:textId="77777777" w:rsidR="00685365" w:rsidRPr="002C207B" w:rsidRDefault="00685365" w:rsidP="00685365">
      <w:pPr>
        <w:overflowPunct w:val="0"/>
        <w:autoSpaceDE w:val="0"/>
        <w:autoSpaceDN w:val="0"/>
        <w:adjustRightInd w:val="0"/>
        <w:spacing w:line="480" w:lineRule="auto"/>
        <w:ind w:left="720" w:firstLine="720"/>
        <w:jc w:val="both"/>
        <w:textAlignment w:val="baseline"/>
        <w:rPr>
          <w:rFonts w:cs="Arial"/>
          <w:szCs w:val="22"/>
        </w:rPr>
      </w:pPr>
      <w:r w:rsidRPr="002C207B">
        <w:rPr>
          <w:rFonts w:cs="Arial"/>
          <w:szCs w:val="22"/>
        </w:rPr>
        <w:t xml:space="preserve">The growth component of the DCF return relates to earnings and stock growth over time.  The growth outlook for utility stocks is not depressed generally, but rather provides a robust outlook for dividends and stock price growth.  The DCF return is not understated due to the DCF growth rate component.  </w:t>
      </w:r>
    </w:p>
    <w:p w14:paraId="68A14435" w14:textId="3DE77CA6" w:rsidR="00685365" w:rsidRPr="002C207B" w:rsidRDefault="00685365" w:rsidP="00685365">
      <w:pPr>
        <w:overflowPunct w:val="0"/>
        <w:autoSpaceDE w:val="0"/>
        <w:autoSpaceDN w:val="0"/>
        <w:adjustRightInd w:val="0"/>
        <w:spacing w:line="480" w:lineRule="auto"/>
        <w:ind w:left="720" w:firstLine="720"/>
        <w:jc w:val="both"/>
        <w:textAlignment w:val="baseline"/>
        <w:rPr>
          <w:rFonts w:cs="Arial"/>
          <w:szCs w:val="22"/>
        </w:rPr>
      </w:pPr>
      <w:r w:rsidRPr="00E92E03">
        <w:rPr>
          <w:rFonts w:cs="Arial"/>
          <w:szCs w:val="22"/>
        </w:rPr>
        <w:t>Exhibit MPG-2</w:t>
      </w:r>
      <w:r>
        <w:rPr>
          <w:rFonts w:cs="Arial"/>
          <w:szCs w:val="22"/>
        </w:rPr>
        <w:t>, page 5</w:t>
      </w:r>
      <w:r w:rsidRPr="002C207B">
        <w:rPr>
          <w:rFonts w:cs="Arial"/>
          <w:szCs w:val="22"/>
        </w:rPr>
        <w:t xml:space="preserve"> also shows the annual growth in dividends for utilities over the last 1</w:t>
      </w:r>
      <w:r w:rsidR="008C4BD5">
        <w:rPr>
          <w:rFonts w:cs="Arial"/>
          <w:szCs w:val="22"/>
        </w:rPr>
        <w:t>6</w:t>
      </w:r>
      <w:r w:rsidRPr="002C207B">
        <w:rPr>
          <w:rFonts w:cs="Arial"/>
          <w:szCs w:val="22"/>
        </w:rPr>
        <w:t> years has been approximately 4.</w:t>
      </w:r>
      <w:r>
        <w:rPr>
          <w:rFonts w:cs="Arial"/>
          <w:szCs w:val="22"/>
        </w:rPr>
        <w:t>17</w:t>
      </w:r>
      <w:r w:rsidRPr="002C207B">
        <w:rPr>
          <w:rFonts w:cs="Arial"/>
          <w:szCs w:val="22"/>
        </w:rPr>
        <w:t>%.   A forward growth rate of 5.</w:t>
      </w:r>
      <w:r>
        <w:rPr>
          <w:rFonts w:cs="Arial"/>
          <w:szCs w:val="22"/>
        </w:rPr>
        <w:t>58</w:t>
      </w:r>
      <w:r w:rsidRPr="002C207B">
        <w:rPr>
          <w:rFonts w:cs="Arial"/>
          <w:szCs w:val="22"/>
        </w:rPr>
        <w:t xml:space="preserve">%, as shown in </w:t>
      </w:r>
      <w:r w:rsidRPr="00E92E03">
        <w:rPr>
          <w:rFonts w:cs="Arial"/>
          <w:szCs w:val="22"/>
        </w:rPr>
        <w:t>Exhibit MPG-4</w:t>
      </w:r>
      <w:r w:rsidRPr="002C207B">
        <w:rPr>
          <w:rFonts w:cs="Arial"/>
          <w:szCs w:val="22"/>
        </w:rPr>
        <w:t>, is higher than the realized historical growth.  Also, utility earnings growth is expected to be considerably higher than the growth of the U.S. GDP, which generally is regarded as the maximum sustainable growth of the market in general.  Going forward, long-term sustainable growth for equity investments is around 4.35%, as described above.  Based on these factors, the growth rate component of a regulated utility DCF return is quite robust and produces a highly competitive DCF return estimate.</w:t>
      </w:r>
    </w:p>
    <w:p w14:paraId="0DC285EA" w14:textId="77777777" w:rsidR="00685365" w:rsidRDefault="00685365" w:rsidP="00685365">
      <w:pPr>
        <w:overflowPunct w:val="0"/>
        <w:autoSpaceDE w:val="0"/>
        <w:autoSpaceDN w:val="0"/>
        <w:adjustRightInd w:val="0"/>
        <w:spacing w:line="480" w:lineRule="auto"/>
        <w:ind w:left="720" w:firstLine="720"/>
        <w:jc w:val="both"/>
        <w:textAlignment w:val="baseline"/>
        <w:rPr>
          <w:rFonts w:cs="Arial"/>
          <w:szCs w:val="22"/>
        </w:rPr>
      </w:pPr>
      <w:r w:rsidRPr="002C207B">
        <w:rPr>
          <w:rFonts w:cs="Arial"/>
          <w:szCs w:val="22"/>
        </w:rPr>
        <w:t>For these reasons, both dividend yield and growth components of a utility DCF indicate an economically logical return estimate that is competitive with comparably risky alternative investments.</w:t>
      </w:r>
    </w:p>
    <w:p w14:paraId="7A98219E" w14:textId="77777777" w:rsidR="00685365" w:rsidRPr="002C207B" w:rsidRDefault="00685365" w:rsidP="00685365">
      <w:pPr>
        <w:suppressLineNumbers/>
        <w:overflowPunct w:val="0"/>
        <w:autoSpaceDE w:val="0"/>
        <w:autoSpaceDN w:val="0"/>
        <w:adjustRightInd w:val="0"/>
        <w:spacing w:line="480" w:lineRule="auto"/>
        <w:ind w:left="720" w:firstLine="720"/>
        <w:jc w:val="both"/>
        <w:textAlignment w:val="baseline"/>
        <w:rPr>
          <w:rFonts w:cs="Arial"/>
          <w:szCs w:val="22"/>
        </w:rPr>
      </w:pPr>
    </w:p>
    <w:p w14:paraId="394EB2C5" w14:textId="77777777" w:rsidR="00685365" w:rsidRPr="002C207B" w:rsidRDefault="00685365" w:rsidP="00685365">
      <w:pPr>
        <w:pStyle w:val="Heading2"/>
      </w:pPr>
      <w:bookmarkStart w:id="96" w:name="_Toc63936870"/>
      <w:bookmarkStart w:id="97" w:name="_Toc85028739"/>
      <w:proofErr w:type="spellStart"/>
      <w:r>
        <w:t>V.</w:t>
      </w:r>
      <w:r w:rsidRPr="002C207B">
        <w:t>B</w:t>
      </w:r>
      <w:proofErr w:type="spellEnd"/>
      <w:r w:rsidRPr="002C207B">
        <w:t>.  Nelson</w:t>
      </w:r>
      <w:r>
        <w:t>’</w:t>
      </w:r>
      <w:r w:rsidRPr="002C207B">
        <w:t>s Constant Growth DCF Models</w:t>
      </w:r>
      <w:bookmarkEnd w:id="96"/>
      <w:bookmarkEnd w:id="97"/>
    </w:p>
    <w:p w14:paraId="1B2CF986" w14:textId="77777777" w:rsidR="00685365" w:rsidRPr="002C207B" w:rsidRDefault="00685365" w:rsidP="00685365">
      <w:pPr>
        <w:keepNext/>
        <w:keepLines/>
        <w:spacing w:line="480" w:lineRule="auto"/>
        <w:ind w:left="720" w:hanging="720"/>
        <w:jc w:val="both"/>
        <w:rPr>
          <w:rFonts w:cs="Arial"/>
          <w:b/>
          <w:caps/>
          <w:szCs w:val="22"/>
        </w:rPr>
      </w:pPr>
      <w:r w:rsidRPr="002C207B">
        <w:rPr>
          <w:rFonts w:cs="Arial"/>
          <w:b/>
          <w:caps/>
          <w:szCs w:val="22"/>
        </w:rPr>
        <w:t>Q</w:t>
      </w:r>
      <w:r w:rsidRPr="002C207B">
        <w:rPr>
          <w:rFonts w:cs="Arial"/>
          <w:b/>
          <w:caps/>
          <w:szCs w:val="22"/>
        </w:rPr>
        <w:tab/>
        <w:t>PLEASE DESCRIBE MS. NELSON</w:t>
      </w:r>
      <w:r>
        <w:rPr>
          <w:rFonts w:cs="Arial"/>
          <w:b/>
          <w:caps/>
          <w:szCs w:val="22"/>
        </w:rPr>
        <w:t>’</w:t>
      </w:r>
      <w:r w:rsidRPr="002C207B">
        <w:rPr>
          <w:rFonts w:cs="Arial"/>
          <w:b/>
          <w:caps/>
          <w:szCs w:val="22"/>
        </w:rPr>
        <w:t>S CONSTANT GROWTH DCF RETURN ESTIMATES.</w:t>
      </w:r>
    </w:p>
    <w:p w14:paraId="276D47DF" w14:textId="77777777" w:rsidR="00685365" w:rsidRPr="002C207B" w:rsidRDefault="00685365" w:rsidP="00685365">
      <w:pPr>
        <w:overflowPunct w:val="0"/>
        <w:autoSpaceDE w:val="0"/>
        <w:autoSpaceDN w:val="0"/>
        <w:adjustRightInd w:val="0"/>
        <w:spacing w:line="480" w:lineRule="auto"/>
        <w:ind w:left="728" w:hanging="728"/>
        <w:jc w:val="both"/>
        <w:textAlignment w:val="baseline"/>
        <w:rPr>
          <w:rFonts w:cs="Arial"/>
          <w:szCs w:val="22"/>
        </w:rPr>
      </w:pPr>
      <w:r w:rsidRPr="002C207B">
        <w:rPr>
          <w:rFonts w:cs="Arial"/>
          <w:szCs w:val="22"/>
        </w:rPr>
        <w:t>A</w:t>
      </w:r>
      <w:r w:rsidRPr="002C207B">
        <w:rPr>
          <w:rFonts w:cs="Arial"/>
          <w:szCs w:val="22"/>
        </w:rPr>
        <w:tab/>
        <w:t>Ms. Nelson</w:t>
      </w:r>
      <w:r>
        <w:rPr>
          <w:rFonts w:cs="Arial"/>
          <w:szCs w:val="22"/>
        </w:rPr>
        <w:t>’</w:t>
      </w:r>
      <w:r w:rsidRPr="002C207B">
        <w:rPr>
          <w:rFonts w:cs="Arial"/>
          <w:szCs w:val="22"/>
        </w:rPr>
        <w:t xml:space="preserve">s constant growth DCF returns are developed on her </w:t>
      </w:r>
      <w:r>
        <w:rPr>
          <w:rFonts w:cs="Arial"/>
          <w:szCs w:val="22"/>
        </w:rPr>
        <w:t>Exhibit JEN-2</w:t>
      </w:r>
      <w:r w:rsidRPr="002C207B">
        <w:rPr>
          <w:rFonts w:cs="Arial"/>
          <w:szCs w:val="22"/>
        </w:rPr>
        <w:t>.  Ms. Nelson</w:t>
      </w:r>
      <w:r>
        <w:rPr>
          <w:rFonts w:cs="Arial"/>
          <w:szCs w:val="22"/>
        </w:rPr>
        <w:t>’</w:t>
      </w:r>
      <w:r w:rsidRPr="002C207B">
        <w:rPr>
          <w:rFonts w:cs="Arial"/>
          <w:szCs w:val="22"/>
        </w:rPr>
        <w:t xml:space="preserve">s constant growth DCF models are based on consensus growth rates published by </w:t>
      </w:r>
      <w:r w:rsidRPr="002C207B">
        <w:rPr>
          <w:rFonts w:cs="Arial"/>
          <w:i/>
          <w:szCs w:val="22"/>
        </w:rPr>
        <w:t>Yahoo! Finance</w:t>
      </w:r>
      <w:r w:rsidRPr="002C207B">
        <w:rPr>
          <w:rFonts w:cs="Arial"/>
          <w:szCs w:val="22"/>
        </w:rPr>
        <w:t xml:space="preserve"> and </w:t>
      </w:r>
      <w:proofErr w:type="spellStart"/>
      <w:r w:rsidRPr="002C207B">
        <w:rPr>
          <w:rFonts w:cs="Arial"/>
          <w:i/>
          <w:szCs w:val="22"/>
        </w:rPr>
        <w:t>Zacks</w:t>
      </w:r>
      <w:proofErr w:type="spellEnd"/>
      <w:r w:rsidRPr="002C207B">
        <w:rPr>
          <w:rFonts w:cs="Arial"/>
          <w:szCs w:val="22"/>
        </w:rPr>
        <w:t xml:space="preserve"> and individual growth rate projections made by </w:t>
      </w:r>
      <w:r w:rsidRPr="002C207B">
        <w:rPr>
          <w:rFonts w:cs="Arial"/>
          <w:i/>
          <w:szCs w:val="22"/>
        </w:rPr>
        <w:t>Value Line</w:t>
      </w:r>
      <w:r w:rsidRPr="002C207B">
        <w:rPr>
          <w:rFonts w:cs="Arial"/>
          <w:szCs w:val="22"/>
        </w:rPr>
        <w:t xml:space="preserve">.  </w:t>
      </w:r>
    </w:p>
    <w:p w14:paraId="266B06B6" w14:textId="77777777" w:rsidR="00685365" w:rsidRPr="002C207B" w:rsidRDefault="00685365" w:rsidP="00685365">
      <w:pPr>
        <w:overflowPunct w:val="0"/>
        <w:autoSpaceDE w:val="0"/>
        <w:autoSpaceDN w:val="0"/>
        <w:adjustRightInd w:val="0"/>
        <w:spacing w:line="480" w:lineRule="auto"/>
        <w:ind w:left="728" w:firstLine="712"/>
        <w:jc w:val="both"/>
        <w:textAlignment w:val="baseline"/>
        <w:rPr>
          <w:rFonts w:cs="Arial"/>
          <w:szCs w:val="22"/>
        </w:rPr>
      </w:pPr>
      <w:r w:rsidRPr="002C207B">
        <w:rPr>
          <w:rFonts w:cs="Arial"/>
          <w:szCs w:val="22"/>
        </w:rPr>
        <w:lastRenderedPageBreak/>
        <w:t xml:space="preserve">She relied on dividend yield calculations based on average stock prices over three different time periods:  30-day, 90-day, and 180-day ending </w:t>
      </w:r>
      <w:r>
        <w:rPr>
          <w:rFonts w:cs="Arial"/>
          <w:szCs w:val="22"/>
        </w:rPr>
        <w:t>March 31</w:t>
      </w:r>
      <w:r w:rsidRPr="002C207B">
        <w:rPr>
          <w:rFonts w:cs="Arial"/>
          <w:szCs w:val="22"/>
        </w:rPr>
        <w:t>, 202</w:t>
      </w:r>
      <w:r>
        <w:rPr>
          <w:rFonts w:cs="Arial"/>
          <w:szCs w:val="22"/>
        </w:rPr>
        <w:t>1</w:t>
      </w:r>
      <w:r w:rsidRPr="002C207B">
        <w:rPr>
          <w:rFonts w:cs="Arial"/>
          <w:szCs w:val="22"/>
        </w:rPr>
        <w:t xml:space="preserve"> – all reflecting a half year of dividend growth adjustments.</w:t>
      </w:r>
    </w:p>
    <w:p w14:paraId="72ED3FA4" w14:textId="77777777" w:rsidR="00685365" w:rsidRPr="002C207B" w:rsidRDefault="00685365" w:rsidP="00685365">
      <w:pPr>
        <w:keepNext/>
        <w:keepLines/>
        <w:suppressLineNumbers/>
        <w:spacing w:line="480" w:lineRule="auto"/>
        <w:ind w:left="720" w:hanging="720"/>
        <w:jc w:val="both"/>
        <w:rPr>
          <w:rFonts w:cs="Arial"/>
          <w:caps/>
          <w:szCs w:val="22"/>
        </w:rPr>
      </w:pPr>
    </w:p>
    <w:p w14:paraId="12AF7A61" w14:textId="77777777" w:rsidR="00685365" w:rsidRPr="002C207B" w:rsidRDefault="00685365" w:rsidP="00685365">
      <w:pPr>
        <w:keepNext/>
        <w:spacing w:line="480" w:lineRule="auto"/>
        <w:ind w:left="720" w:hanging="720"/>
        <w:jc w:val="both"/>
        <w:rPr>
          <w:rFonts w:cs="Arial"/>
          <w:b/>
          <w:bCs/>
          <w:caps/>
          <w:szCs w:val="22"/>
        </w:rPr>
      </w:pPr>
      <w:r w:rsidRPr="002C207B">
        <w:rPr>
          <w:rFonts w:cs="Arial"/>
          <w:b/>
          <w:bCs/>
          <w:caps/>
          <w:szCs w:val="22"/>
        </w:rPr>
        <w:t>Q</w:t>
      </w:r>
      <w:r w:rsidRPr="002C207B">
        <w:rPr>
          <w:rFonts w:cs="Arial"/>
          <w:b/>
          <w:bCs/>
          <w:caps/>
          <w:szCs w:val="22"/>
        </w:rPr>
        <w:tab/>
      </w:r>
      <w:r>
        <w:rPr>
          <w:rFonts w:cs="Arial"/>
          <w:b/>
          <w:bCs/>
          <w:caps/>
          <w:szCs w:val="22"/>
        </w:rPr>
        <w:t>DO YOU HAVE anY ISSUES WITH</w:t>
      </w:r>
      <w:r w:rsidRPr="002C207B">
        <w:rPr>
          <w:rFonts w:cs="Arial"/>
          <w:b/>
          <w:bCs/>
          <w:caps/>
          <w:szCs w:val="22"/>
        </w:rPr>
        <w:t xml:space="preserve"> </w:t>
      </w:r>
      <w:r>
        <w:rPr>
          <w:rFonts w:cs="Arial"/>
          <w:b/>
          <w:bCs/>
          <w:caps/>
          <w:szCs w:val="22"/>
        </w:rPr>
        <w:t xml:space="preserve">MS. NELSON’s </w:t>
      </w:r>
      <w:r w:rsidRPr="002C207B">
        <w:rPr>
          <w:rFonts w:cs="Arial"/>
          <w:b/>
          <w:bCs/>
          <w:caps/>
          <w:szCs w:val="22"/>
        </w:rPr>
        <w:t>CONSTANT GROWTH DCF RESULTS?</w:t>
      </w:r>
    </w:p>
    <w:p w14:paraId="70F6A231" w14:textId="77777777" w:rsidR="00685365" w:rsidRPr="002C207B" w:rsidRDefault="00685365" w:rsidP="00685365">
      <w:pPr>
        <w:overflowPunct w:val="0"/>
        <w:autoSpaceDE w:val="0"/>
        <w:autoSpaceDN w:val="0"/>
        <w:adjustRightInd w:val="0"/>
        <w:spacing w:line="480" w:lineRule="auto"/>
        <w:ind w:left="720" w:hanging="720"/>
        <w:jc w:val="both"/>
        <w:textAlignment w:val="baseline"/>
        <w:rPr>
          <w:rFonts w:cs="Arial"/>
          <w:szCs w:val="22"/>
        </w:rPr>
      </w:pPr>
      <w:r w:rsidRPr="002C207B">
        <w:rPr>
          <w:rFonts w:cs="Arial"/>
          <w:szCs w:val="22"/>
        </w:rPr>
        <w:t>A</w:t>
      </w:r>
      <w:r w:rsidRPr="002C207B">
        <w:rPr>
          <w:rFonts w:cs="Arial"/>
          <w:szCs w:val="22"/>
        </w:rPr>
        <w:tab/>
      </w:r>
      <w:r>
        <w:rPr>
          <w:rFonts w:cs="Arial"/>
          <w:szCs w:val="22"/>
        </w:rPr>
        <w:t>Yes.</w:t>
      </w:r>
      <w:r w:rsidRPr="002C207B">
        <w:rPr>
          <w:rFonts w:cs="Arial"/>
          <w:szCs w:val="22"/>
        </w:rPr>
        <w:t xml:space="preserve">  As discussed in regard to my own DCF study, the current consensus analysts</w:t>
      </w:r>
      <w:r>
        <w:rPr>
          <w:rFonts w:cs="Arial"/>
          <w:szCs w:val="22"/>
        </w:rPr>
        <w:t>’</w:t>
      </w:r>
      <w:r w:rsidRPr="002C207B">
        <w:rPr>
          <w:rFonts w:cs="Arial"/>
          <w:szCs w:val="22"/>
        </w:rPr>
        <w:t xml:space="preserve"> growth rates are higher than the long-term sustainable growth rate of 4.35%.  Ms. Nelson</w:t>
      </w:r>
      <w:r>
        <w:rPr>
          <w:rFonts w:cs="Arial"/>
          <w:szCs w:val="22"/>
        </w:rPr>
        <w:t>’</w:t>
      </w:r>
      <w:r w:rsidRPr="002C207B">
        <w:rPr>
          <w:rFonts w:cs="Arial"/>
          <w:szCs w:val="22"/>
        </w:rPr>
        <w:t xml:space="preserve">s constant growth DCF model is based on an average proxy group growth rate of </w:t>
      </w:r>
      <w:r>
        <w:rPr>
          <w:rFonts w:cs="Arial"/>
          <w:szCs w:val="22"/>
        </w:rPr>
        <w:t>5.75</w:t>
      </w:r>
      <w:r w:rsidRPr="002C207B">
        <w:rPr>
          <w:rFonts w:cs="Arial"/>
          <w:szCs w:val="22"/>
        </w:rPr>
        <w:t>%</w:t>
      </w:r>
      <w:r>
        <w:rPr>
          <w:rFonts w:cs="Arial"/>
          <w:szCs w:val="22"/>
        </w:rPr>
        <w:t>, which is significantly above the long-term sustainable growth rate</w:t>
      </w:r>
      <w:r w:rsidRPr="002C207B">
        <w:rPr>
          <w:rFonts w:cs="Arial"/>
          <w:szCs w:val="22"/>
        </w:rPr>
        <w:t>.  Therefore,</w:t>
      </w:r>
      <w:r>
        <w:rPr>
          <w:rFonts w:cs="Arial"/>
          <w:szCs w:val="22"/>
        </w:rPr>
        <w:t xml:space="preserve"> contrary to</w:t>
      </w:r>
      <w:r w:rsidRPr="002C207B">
        <w:rPr>
          <w:rFonts w:cs="Arial"/>
          <w:szCs w:val="22"/>
        </w:rPr>
        <w:t xml:space="preserve"> Ms. Nelson</w:t>
      </w:r>
      <w:r>
        <w:rPr>
          <w:rFonts w:cs="Arial"/>
          <w:szCs w:val="22"/>
        </w:rPr>
        <w:t>’</w:t>
      </w:r>
      <w:r w:rsidRPr="002C207B">
        <w:rPr>
          <w:rFonts w:cs="Arial"/>
          <w:szCs w:val="22"/>
        </w:rPr>
        <w:t>s</w:t>
      </w:r>
      <w:r>
        <w:rPr>
          <w:rFonts w:cs="Arial"/>
          <w:szCs w:val="22"/>
        </w:rPr>
        <w:t xml:space="preserve"> conclusions, her</w:t>
      </w:r>
      <w:r w:rsidRPr="002C207B">
        <w:rPr>
          <w:rFonts w:cs="Arial"/>
          <w:szCs w:val="22"/>
        </w:rPr>
        <w:t xml:space="preserve"> DCF results should be considered as a high-end DCF return for </w:t>
      </w:r>
      <w:proofErr w:type="spellStart"/>
      <w:r>
        <w:rPr>
          <w:rFonts w:cs="Arial"/>
          <w:szCs w:val="22"/>
        </w:rPr>
        <w:t>EPE</w:t>
      </w:r>
      <w:proofErr w:type="spellEnd"/>
      <w:r w:rsidRPr="002C207B">
        <w:rPr>
          <w:rFonts w:cs="Arial"/>
          <w:szCs w:val="22"/>
        </w:rPr>
        <w:t>.</w:t>
      </w:r>
    </w:p>
    <w:p w14:paraId="40B93287" w14:textId="77777777" w:rsidR="00685365" w:rsidRPr="002C207B" w:rsidRDefault="00685365" w:rsidP="00685365">
      <w:pPr>
        <w:keepNext/>
        <w:keepLines/>
        <w:suppressLineNumbers/>
        <w:spacing w:line="480" w:lineRule="auto"/>
        <w:ind w:left="720" w:hanging="720"/>
        <w:jc w:val="both"/>
        <w:rPr>
          <w:rFonts w:cs="Arial"/>
          <w:caps/>
          <w:szCs w:val="22"/>
        </w:rPr>
      </w:pPr>
    </w:p>
    <w:p w14:paraId="1BD44148" w14:textId="77777777" w:rsidR="00685365" w:rsidRPr="002C207B" w:rsidRDefault="00685365" w:rsidP="00685365">
      <w:pPr>
        <w:spacing w:line="480" w:lineRule="auto"/>
        <w:ind w:left="720" w:hanging="720"/>
        <w:jc w:val="both"/>
        <w:rPr>
          <w:rFonts w:cs="Arial"/>
          <w:b/>
          <w:szCs w:val="22"/>
        </w:rPr>
      </w:pPr>
      <w:r w:rsidRPr="002C207B">
        <w:rPr>
          <w:rFonts w:cs="Arial"/>
          <w:b/>
          <w:szCs w:val="22"/>
        </w:rPr>
        <w:t>Q</w:t>
      </w:r>
      <w:r w:rsidRPr="002C207B">
        <w:rPr>
          <w:rFonts w:cs="Arial"/>
          <w:b/>
          <w:szCs w:val="22"/>
        </w:rPr>
        <w:tab/>
        <w:t>DO YOU HAVE ANY CONCERNS WITH MS. NELSON</w:t>
      </w:r>
      <w:r>
        <w:rPr>
          <w:rFonts w:cs="Arial"/>
          <w:b/>
          <w:szCs w:val="22"/>
        </w:rPr>
        <w:t>’</w:t>
      </w:r>
      <w:r w:rsidRPr="002C207B">
        <w:rPr>
          <w:rFonts w:cs="Arial"/>
          <w:b/>
          <w:szCs w:val="22"/>
        </w:rPr>
        <w:t xml:space="preserve">S </w:t>
      </w:r>
      <w:r w:rsidRPr="002C207B">
        <w:rPr>
          <w:b/>
          <w:szCs w:val="24"/>
        </w:rPr>
        <w:t>QUARTERLY</w:t>
      </w:r>
      <w:r w:rsidRPr="002C207B">
        <w:rPr>
          <w:rFonts w:cs="Arial"/>
          <w:b/>
          <w:szCs w:val="22"/>
        </w:rPr>
        <w:t xml:space="preserve"> DCF RETURN ESTIMATES?</w:t>
      </w:r>
    </w:p>
    <w:p w14:paraId="38D931A3" w14:textId="77777777" w:rsidR="00685365" w:rsidRPr="002C207B" w:rsidRDefault="00685365" w:rsidP="00685365">
      <w:pPr>
        <w:spacing w:line="480" w:lineRule="auto"/>
        <w:ind w:left="720" w:hanging="720"/>
        <w:jc w:val="both"/>
        <w:rPr>
          <w:rFonts w:cs="Arial"/>
          <w:szCs w:val="22"/>
        </w:rPr>
      </w:pPr>
      <w:r w:rsidRPr="002C207B">
        <w:rPr>
          <w:rFonts w:cs="Arial"/>
          <w:szCs w:val="22"/>
        </w:rPr>
        <w:t>A</w:t>
      </w:r>
      <w:r w:rsidRPr="002C207B">
        <w:rPr>
          <w:rFonts w:cs="Arial"/>
          <w:szCs w:val="22"/>
        </w:rPr>
        <w:tab/>
        <w:t xml:space="preserve">Yes.  </w:t>
      </w:r>
      <w:r>
        <w:rPr>
          <w:rFonts w:cs="Arial"/>
          <w:szCs w:val="22"/>
        </w:rPr>
        <w:t>Ms. Nelson included</w:t>
      </w:r>
      <w:r w:rsidRPr="002C207B">
        <w:rPr>
          <w:rFonts w:cs="Arial"/>
          <w:szCs w:val="22"/>
        </w:rPr>
        <w:t xml:space="preserve"> quarterly compounding in </w:t>
      </w:r>
      <w:r>
        <w:rPr>
          <w:rFonts w:cs="Arial"/>
          <w:szCs w:val="22"/>
        </w:rPr>
        <w:t>her</w:t>
      </w:r>
      <w:r w:rsidRPr="002C207B">
        <w:rPr>
          <w:rFonts w:cs="Arial"/>
          <w:szCs w:val="22"/>
        </w:rPr>
        <w:t xml:space="preserve"> DCF return estimates to replicate reinvestment of quarterly dividends over a year</w:t>
      </w:r>
      <w:r>
        <w:rPr>
          <w:rFonts w:cs="Arial"/>
          <w:szCs w:val="22"/>
        </w:rPr>
        <w:t>, but that</w:t>
      </w:r>
      <w:r w:rsidRPr="002C207B">
        <w:rPr>
          <w:rFonts w:cs="Arial"/>
          <w:szCs w:val="22"/>
        </w:rPr>
        <w:t xml:space="preserve"> can overstate a fair return on equity for setting rates.  This occurs because the return available to investors from reinvesting dividends is not a cost to the utility.  Therefore, it should not be reflected as a cost of capital in setting utility rates.  By including the quarterly compounding adjustment in the authorized returns used to set rates, investors are provided an opportunity to earn that quarterly compounding return twice:  first, by setting rates to increase the allowed return on equity to include a dividend reinvestment return despite the absence of actual reinvestment of the dividend in the utility; and second, investors are able to earn the reinvestment dividend return again when </w:t>
      </w:r>
      <w:r>
        <w:rPr>
          <w:rFonts w:cs="Arial"/>
          <w:szCs w:val="22"/>
        </w:rPr>
        <w:t>they</w:t>
      </w:r>
      <w:r w:rsidRPr="002C207B">
        <w:rPr>
          <w:rFonts w:cs="Arial"/>
          <w:szCs w:val="22"/>
        </w:rPr>
        <w:t xml:space="preserve"> receive dividends from the utilities and actually reinvest in alternative investments.  </w:t>
      </w:r>
    </w:p>
    <w:p w14:paraId="7F5202D1" w14:textId="44BF7414" w:rsidR="00685365" w:rsidRDefault="00685365" w:rsidP="00685365">
      <w:pPr>
        <w:spacing w:line="480" w:lineRule="auto"/>
        <w:ind w:left="720" w:firstLine="720"/>
        <w:jc w:val="both"/>
        <w:rPr>
          <w:rFonts w:cs="Arial"/>
          <w:szCs w:val="22"/>
        </w:rPr>
      </w:pPr>
      <w:r w:rsidRPr="002C207B">
        <w:rPr>
          <w:rFonts w:cs="Arial"/>
          <w:szCs w:val="22"/>
        </w:rPr>
        <w:lastRenderedPageBreak/>
        <w:t>As such, including the quarterly compounding return in the DCF return estimates overstates a fair ret</w:t>
      </w:r>
      <w:r>
        <w:rPr>
          <w:rFonts w:cs="Arial"/>
          <w:szCs w:val="22"/>
        </w:rPr>
        <w:t>urn on equity for setting rates</w:t>
      </w:r>
      <w:r w:rsidRPr="002C207B">
        <w:rPr>
          <w:rFonts w:cs="Arial"/>
          <w:szCs w:val="22"/>
        </w:rPr>
        <w:t xml:space="preserve"> because it overstates the utility</w:t>
      </w:r>
      <w:r>
        <w:rPr>
          <w:rFonts w:cs="Arial"/>
          <w:szCs w:val="22"/>
        </w:rPr>
        <w:t>’</w:t>
      </w:r>
      <w:r w:rsidRPr="002C207B">
        <w:rPr>
          <w:rFonts w:cs="Arial"/>
          <w:szCs w:val="22"/>
        </w:rPr>
        <w:t xml:space="preserve">s cost of capital.  </w:t>
      </w:r>
      <w:r>
        <w:rPr>
          <w:rFonts w:cs="Arial"/>
          <w:szCs w:val="22"/>
        </w:rPr>
        <w:t>R</w:t>
      </w:r>
      <w:r w:rsidRPr="002C207B">
        <w:rPr>
          <w:rFonts w:cs="Arial"/>
          <w:szCs w:val="22"/>
        </w:rPr>
        <w:t>emoving the quarterly compounding from Ms. Nelson</w:t>
      </w:r>
      <w:r>
        <w:rPr>
          <w:rFonts w:cs="Arial"/>
          <w:szCs w:val="22"/>
        </w:rPr>
        <w:t>’</w:t>
      </w:r>
      <w:r w:rsidRPr="002C207B">
        <w:rPr>
          <w:rFonts w:cs="Arial"/>
          <w:szCs w:val="22"/>
        </w:rPr>
        <w:t xml:space="preserve">s DCF return estimates </w:t>
      </w:r>
      <w:r>
        <w:rPr>
          <w:rFonts w:cs="Arial"/>
          <w:szCs w:val="22"/>
        </w:rPr>
        <w:t>causes that model to</w:t>
      </w:r>
      <w:r w:rsidRPr="002C207B">
        <w:rPr>
          <w:rFonts w:cs="Arial"/>
          <w:szCs w:val="22"/>
        </w:rPr>
        <w:t xml:space="preserve"> yield the same results as her constant growth DCF model, which again should be considered as a high-end DCF return for </w:t>
      </w:r>
      <w:proofErr w:type="spellStart"/>
      <w:r>
        <w:rPr>
          <w:rFonts w:cs="Arial"/>
          <w:szCs w:val="22"/>
        </w:rPr>
        <w:t>EPE</w:t>
      </w:r>
      <w:proofErr w:type="spellEnd"/>
      <w:r w:rsidRPr="002C207B">
        <w:rPr>
          <w:rFonts w:cs="Arial"/>
          <w:szCs w:val="22"/>
        </w:rPr>
        <w:t>.</w:t>
      </w:r>
    </w:p>
    <w:p w14:paraId="08430C82" w14:textId="77777777" w:rsidR="00685365" w:rsidRDefault="00685365" w:rsidP="00685365">
      <w:pPr>
        <w:suppressLineNumbers/>
        <w:spacing w:line="480" w:lineRule="auto"/>
        <w:ind w:left="720" w:firstLine="720"/>
        <w:jc w:val="both"/>
        <w:rPr>
          <w:rFonts w:cs="Arial"/>
          <w:szCs w:val="22"/>
        </w:rPr>
      </w:pPr>
    </w:p>
    <w:p w14:paraId="0F437F04" w14:textId="77777777" w:rsidR="00685365" w:rsidRPr="007114B7" w:rsidRDefault="00685365" w:rsidP="00685365">
      <w:pPr>
        <w:keepNext/>
        <w:spacing w:line="480" w:lineRule="auto"/>
        <w:ind w:left="720" w:hanging="720"/>
        <w:jc w:val="both"/>
        <w:rPr>
          <w:rFonts w:cs="Arial"/>
          <w:b/>
          <w:bCs/>
          <w:szCs w:val="22"/>
        </w:rPr>
      </w:pPr>
      <w:r w:rsidRPr="007114B7">
        <w:rPr>
          <w:rFonts w:cs="Arial"/>
          <w:b/>
          <w:bCs/>
          <w:szCs w:val="22"/>
        </w:rPr>
        <w:t>Q</w:t>
      </w:r>
      <w:r w:rsidRPr="007114B7">
        <w:rPr>
          <w:rFonts w:cs="Arial"/>
          <w:b/>
          <w:bCs/>
          <w:szCs w:val="22"/>
        </w:rPr>
        <w:tab/>
        <w:t>IS TH</w:t>
      </w:r>
      <w:r>
        <w:rPr>
          <w:rFonts w:cs="Arial"/>
          <w:b/>
          <w:bCs/>
          <w:szCs w:val="22"/>
        </w:rPr>
        <w:t>ERE A WAY TO CORRECT MS. NELSON’</w:t>
      </w:r>
      <w:r w:rsidRPr="007114B7">
        <w:rPr>
          <w:rFonts w:cs="Arial"/>
          <w:b/>
          <w:bCs/>
          <w:szCs w:val="22"/>
        </w:rPr>
        <w:t xml:space="preserve">S CONSTANT GROWTH DCF RESULTS TO </w:t>
      </w:r>
      <w:r>
        <w:rPr>
          <w:rFonts w:cs="Arial"/>
          <w:b/>
          <w:bCs/>
          <w:szCs w:val="22"/>
        </w:rPr>
        <w:t>REFLECT A REASONABLE GROWTH RATE EXPECTATION</w:t>
      </w:r>
      <w:r w:rsidRPr="007114B7">
        <w:rPr>
          <w:rFonts w:cs="Arial"/>
          <w:b/>
          <w:bCs/>
          <w:szCs w:val="22"/>
        </w:rPr>
        <w:t>?</w:t>
      </w:r>
    </w:p>
    <w:p w14:paraId="2B6C813D" w14:textId="3738EF91" w:rsidR="00685365" w:rsidRPr="002C207B" w:rsidRDefault="00685365" w:rsidP="00685365">
      <w:pPr>
        <w:spacing w:line="480" w:lineRule="auto"/>
        <w:ind w:left="720" w:hanging="720"/>
        <w:jc w:val="both"/>
        <w:rPr>
          <w:rFonts w:cs="Arial"/>
          <w:szCs w:val="22"/>
        </w:rPr>
      </w:pPr>
      <w:r>
        <w:rPr>
          <w:rFonts w:cs="Arial"/>
          <w:szCs w:val="22"/>
        </w:rPr>
        <w:t>A</w:t>
      </w:r>
      <w:r>
        <w:rPr>
          <w:rFonts w:cs="Arial"/>
          <w:szCs w:val="22"/>
        </w:rPr>
        <w:tab/>
        <w:t xml:space="preserve">Yes. </w:t>
      </w:r>
      <w:r w:rsidR="008C4BD5">
        <w:rPr>
          <w:rFonts w:cs="Arial"/>
          <w:szCs w:val="22"/>
        </w:rPr>
        <w:t xml:space="preserve"> </w:t>
      </w:r>
      <w:r>
        <w:rPr>
          <w:rFonts w:cs="Arial"/>
          <w:szCs w:val="22"/>
        </w:rPr>
        <w:t>In Column 2 in Table 8</w:t>
      </w:r>
      <w:r w:rsidRPr="007114B7">
        <w:rPr>
          <w:rFonts w:cs="Arial"/>
          <w:szCs w:val="22"/>
        </w:rPr>
        <w:t xml:space="preserve"> above and my </w:t>
      </w:r>
      <w:r w:rsidRPr="00E92E03">
        <w:rPr>
          <w:rFonts w:cs="Arial"/>
          <w:szCs w:val="22"/>
        </w:rPr>
        <w:t>Exhibit MPG-20</w:t>
      </w:r>
      <w:r w:rsidRPr="007114B7">
        <w:rPr>
          <w:rFonts w:cs="Arial"/>
          <w:szCs w:val="22"/>
        </w:rPr>
        <w:t xml:space="preserve">, I present the results of a multi-stage DCF model to reflect a reasonable long-term sustainable growth rate as discussed in regard to my own studies.  Ms. </w:t>
      </w:r>
      <w:r>
        <w:rPr>
          <w:rFonts w:cs="Arial"/>
          <w:szCs w:val="22"/>
        </w:rPr>
        <w:t>Nelson’</w:t>
      </w:r>
      <w:r w:rsidRPr="007114B7">
        <w:rPr>
          <w:rFonts w:cs="Arial"/>
          <w:szCs w:val="22"/>
        </w:rPr>
        <w:t xml:space="preserve">s constant growth DCF mean adjusted results generally support a return </w:t>
      </w:r>
      <w:r>
        <w:rPr>
          <w:rFonts w:cs="Arial"/>
          <w:szCs w:val="22"/>
        </w:rPr>
        <w:t>on equity no higher tha</w:t>
      </w:r>
      <w:r w:rsidRPr="00B57E9D">
        <w:rPr>
          <w:rFonts w:cs="Arial"/>
          <w:szCs w:val="22"/>
        </w:rPr>
        <w:t>n 8.5%.</w:t>
      </w:r>
      <w:r>
        <w:rPr>
          <w:rFonts w:cs="Arial"/>
          <w:szCs w:val="22"/>
        </w:rPr>
        <w:t xml:space="preserve"> </w:t>
      </w:r>
    </w:p>
    <w:p w14:paraId="7CA6D141" w14:textId="77777777" w:rsidR="00685365" w:rsidRPr="002C207B" w:rsidRDefault="00685365" w:rsidP="00685365">
      <w:pPr>
        <w:keepNext/>
        <w:keepLines/>
        <w:suppressLineNumbers/>
        <w:spacing w:line="480" w:lineRule="auto"/>
        <w:jc w:val="both"/>
        <w:rPr>
          <w:rFonts w:cs="Arial"/>
          <w:caps/>
          <w:szCs w:val="22"/>
        </w:rPr>
      </w:pPr>
    </w:p>
    <w:p w14:paraId="26B6B17C" w14:textId="77777777" w:rsidR="00685365" w:rsidRPr="002C207B" w:rsidRDefault="00685365" w:rsidP="00685365">
      <w:pPr>
        <w:pStyle w:val="Heading2"/>
      </w:pPr>
      <w:bookmarkStart w:id="98" w:name="_Toc63936871"/>
      <w:bookmarkStart w:id="99" w:name="_Toc85028740"/>
      <w:proofErr w:type="spellStart"/>
      <w:r>
        <w:t>V.</w:t>
      </w:r>
      <w:r w:rsidRPr="002C207B">
        <w:t>C</w:t>
      </w:r>
      <w:proofErr w:type="spellEnd"/>
      <w:r w:rsidRPr="002C207B">
        <w:t>.  Nelson</w:t>
      </w:r>
      <w:r>
        <w:t>’</w:t>
      </w:r>
      <w:r w:rsidRPr="002C207B">
        <w:t xml:space="preserve">s </w:t>
      </w:r>
      <w:proofErr w:type="spellStart"/>
      <w:r w:rsidRPr="002C207B">
        <w:t>CAPM</w:t>
      </w:r>
      <w:proofErr w:type="spellEnd"/>
      <w:r w:rsidRPr="002C207B">
        <w:t xml:space="preserve"> Studies</w:t>
      </w:r>
      <w:bookmarkEnd w:id="98"/>
      <w:bookmarkEnd w:id="99"/>
    </w:p>
    <w:p w14:paraId="49C3BA16" w14:textId="77777777" w:rsidR="00685365" w:rsidRPr="002C207B" w:rsidRDefault="00685365" w:rsidP="00685365">
      <w:pPr>
        <w:spacing w:line="480" w:lineRule="auto"/>
        <w:ind w:left="720" w:hanging="720"/>
        <w:jc w:val="both"/>
        <w:rPr>
          <w:rFonts w:cs="Arial"/>
          <w:b/>
          <w:bCs/>
          <w:caps/>
          <w:szCs w:val="22"/>
        </w:rPr>
      </w:pPr>
      <w:r w:rsidRPr="002C207B">
        <w:rPr>
          <w:rFonts w:cs="Arial"/>
          <w:b/>
          <w:bCs/>
          <w:caps/>
          <w:szCs w:val="22"/>
        </w:rPr>
        <w:t>Q</w:t>
      </w:r>
      <w:r w:rsidRPr="002C207B">
        <w:rPr>
          <w:rFonts w:cs="Arial"/>
          <w:b/>
          <w:bCs/>
          <w:caps/>
          <w:szCs w:val="22"/>
        </w:rPr>
        <w:tab/>
        <w:t>PLEASE DESCRIBE MS. NELSON</w:t>
      </w:r>
      <w:r>
        <w:rPr>
          <w:rFonts w:cs="Arial"/>
          <w:b/>
          <w:bCs/>
          <w:caps/>
          <w:szCs w:val="22"/>
        </w:rPr>
        <w:t>’</w:t>
      </w:r>
      <w:r w:rsidRPr="002C207B">
        <w:rPr>
          <w:rFonts w:cs="Arial"/>
          <w:b/>
          <w:bCs/>
          <w:caps/>
          <w:szCs w:val="22"/>
        </w:rPr>
        <w:t xml:space="preserve">S </w:t>
      </w:r>
      <w:proofErr w:type="spellStart"/>
      <w:r w:rsidRPr="002C207B">
        <w:rPr>
          <w:rFonts w:cs="Arial"/>
          <w:b/>
          <w:bCs/>
          <w:caps/>
          <w:szCs w:val="22"/>
        </w:rPr>
        <w:t>CAPM</w:t>
      </w:r>
      <w:proofErr w:type="spellEnd"/>
      <w:r w:rsidRPr="002C207B">
        <w:rPr>
          <w:rFonts w:cs="Arial"/>
          <w:b/>
          <w:bCs/>
          <w:caps/>
          <w:szCs w:val="22"/>
        </w:rPr>
        <w:t xml:space="preserve"> ANALYSIS.</w:t>
      </w:r>
    </w:p>
    <w:p w14:paraId="74C6C83D" w14:textId="77777777" w:rsidR="00685365" w:rsidRPr="002C207B" w:rsidRDefault="00685365" w:rsidP="00685365">
      <w:pPr>
        <w:tabs>
          <w:tab w:val="left" w:pos="720"/>
        </w:tabs>
        <w:overflowPunct w:val="0"/>
        <w:autoSpaceDE w:val="0"/>
        <w:autoSpaceDN w:val="0"/>
        <w:adjustRightInd w:val="0"/>
        <w:spacing w:line="480" w:lineRule="auto"/>
        <w:ind w:left="720" w:hanging="720"/>
        <w:jc w:val="both"/>
        <w:textAlignment w:val="baseline"/>
        <w:rPr>
          <w:rFonts w:cs="Arial"/>
          <w:szCs w:val="22"/>
        </w:rPr>
      </w:pPr>
      <w:r w:rsidRPr="002C207B">
        <w:rPr>
          <w:rFonts w:cs="Arial"/>
          <w:szCs w:val="22"/>
        </w:rPr>
        <w:t>A</w:t>
      </w:r>
      <w:r w:rsidRPr="002C207B">
        <w:rPr>
          <w:rFonts w:cs="Arial"/>
          <w:szCs w:val="22"/>
        </w:rPr>
        <w:tab/>
        <w:t xml:space="preserve">As indicated above, the </w:t>
      </w:r>
      <w:proofErr w:type="spellStart"/>
      <w:r w:rsidRPr="002C207B">
        <w:rPr>
          <w:rFonts w:cs="Arial"/>
          <w:szCs w:val="22"/>
        </w:rPr>
        <w:t>CAPM</w:t>
      </w:r>
      <w:proofErr w:type="spellEnd"/>
      <w:r w:rsidRPr="002C207B">
        <w:rPr>
          <w:rFonts w:cs="Arial"/>
          <w:szCs w:val="22"/>
        </w:rPr>
        <w:t xml:space="preserve"> analysis is based upon the theory that the market required rate of return for a security is equal to the risk-free rate, plus a risk premium associated with the specific security.  The risk premium associated with the specific security is expressed mathematically as: </w:t>
      </w:r>
    </w:p>
    <w:p w14:paraId="08FCBBBB" w14:textId="77777777" w:rsidR="00685365" w:rsidRPr="002C207B" w:rsidRDefault="00685365" w:rsidP="00685365">
      <w:pPr>
        <w:tabs>
          <w:tab w:val="left" w:pos="720"/>
        </w:tabs>
        <w:overflowPunct w:val="0"/>
        <w:autoSpaceDE w:val="0"/>
        <w:autoSpaceDN w:val="0"/>
        <w:adjustRightInd w:val="0"/>
        <w:spacing w:line="480" w:lineRule="auto"/>
        <w:ind w:left="720" w:hanging="720"/>
        <w:jc w:val="both"/>
        <w:textAlignment w:val="baseline"/>
        <w:rPr>
          <w:rFonts w:cs="Arial"/>
          <w:szCs w:val="22"/>
        </w:rPr>
      </w:pPr>
      <w:r w:rsidRPr="002C207B">
        <w:rPr>
          <w:rFonts w:cs="Arial"/>
          <w:szCs w:val="22"/>
        </w:rPr>
        <w:tab/>
      </w:r>
      <w:r w:rsidRPr="002C207B">
        <w:rPr>
          <w:rFonts w:cs="Arial"/>
          <w:szCs w:val="22"/>
        </w:rPr>
        <w:tab/>
        <w:t xml:space="preserve">Bi x (Rm - </w:t>
      </w:r>
      <w:proofErr w:type="spellStart"/>
      <w:r w:rsidRPr="002C207B">
        <w:rPr>
          <w:rFonts w:cs="Arial"/>
          <w:szCs w:val="22"/>
        </w:rPr>
        <w:t>Rf</w:t>
      </w:r>
      <w:proofErr w:type="spellEnd"/>
      <w:r w:rsidRPr="002C207B">
        <w:rPr>
          <w:rFonts w:cs="Arial"/>
          <w:szCs w:val="22"/>
        </w:rPr>
        <w:t>) where:</w:t>
      </w:r>
    </w:p>
    <w:p w14:paraId="62BABA3E" w14:textId="77777777" w:rsidR="00685365" w:rsidRPr="002C207B" w:rsidRDefault="00685365" w:rsidP="00685365">
      <w:pPr>
        <w:tabs>
          <w:tab w:val="left" w:pos="720"/>
        </w:tabs>
        <w:overflowPunct w:val="0"/>
        <w:autoSpaceDE w:val="0"/>
        <w:autoSpaceDN w:val="0"/>
        <w:adjustRightInd w:val="0"/>
        <w:ind w:left="720" w:hanging="720"/>
        <w:jc w:val="both"/>
        <w:textAlignment w:val="baseline"/>
        <w:rPr>
          <w:rFonts w:cs="Arial"/>
          <w:szCs w:val="22"/>
        </w:rPr>
      </w:pPr>
      <w:r w:rsidRPr="002C207B">
        <w:rPr>
          <w:rFonts w:cs="Arial"/>
          <w:szCs w:val="22"/>
        </w:rPr>
        <w:tab/>
      </w:r>
      <w:r w:rsidRPr="002C207B">
        <w:rPr>
          <w:rFonts w:cs="Arial"/>
          <w:szCs w:val="22"/>
        </w:rPr>
        <w:tab/>
      </w:r>
      <w:r w:rsidRPr="002C207B">
        <w:rPr>
          <w:rFonts w:cs="Arial"/>
          <w:szCs w:val="22"/>
        </w:rPr>
        <w:tab/>
        <w:t>Bi = Beta - Measure of the risk for stock</w:t>
      </w:r>
    </w:p>
    <w:p w14:paraId="3087B70A" w14:textId="77777777" w:rsidR="00685365" w:rsidRPr="002C207B" w:rsidRDefault="00685365" w:rsidP="00685365">
      <w:pPr>
        <w:tabs>
          <w:tab w:val="left" w:pos="720"/>
        </w:tabs>
        <w:overflowPunct w:val="0"/>
        <w:autoSpaceDE w:val="0"/>
        <w:autoSpaceDN w:val="0"/>
        <w:adjustRightInd w:val="0"/>
        <w:ind w:left="720" w:hanging="720"/>
        <w:jc w:val="both"/>
        <w:textAlignment w:val="baseline"/>
        <w:rPr>
          <w:rFonts w:cs="Arial"/>
          <w:szCs w:val="22"/>
        </w:rPr>
      </w:pPr>
      <w:r w:rsidRPr="002C207B">
        <w:rPr>
          <w:rFonts w:cs="Arial"/>
          <w:szCs w:val="22"/>
        </w:rPr>
        <w:tab/>
      </w:r>
      <w:r w:rsidRPr="002C207B">
        <w:rPr>
          <w:rFonts w:cs="Arial"/>
          <w:szCs w:val="22"/>
        </w:rPr>
        <w:tab/>
      </w:r>
      <w:r w:rsidRPr="002C207B">
        <w:rPr>
          <w:rFonts w:cs="Arial"/>
          <w:szCs w:val="22"/>
        </w:rPr>
        <w:tab/>
        <w:t>Rm = Expected return for the market portfolio</w:t>
      </w:r>
    </w:p>
    <w:p w14:paraId="6185BE4B" w14:textId="77777777" w:rsidR="00685365" w:rsidRPr="002C207B" w:rsidRDefault="00685365" w:rsidP="00685365">
      <w:pPr>
        <w:tabs>
          <w:tab w:val="left" w:pos="720"/>
        </w:tabs>
        <w:overflowPunct w:val="0"/>
        <w:autoSpaceDE w:val="0"/>
        <w:autoSpaceDN w:val="0"/>
        <w:adjustRightInd w:val="0"/>
        <w:spacing w:line="480" w:lineRule="auto"/>
        <w:ind w:left="720" w:hanging="720"/>
        <w:jc w:val="both"/>
        <w:textAlignment w:val="baseline"/>
        <w:rPr>
          <w:rFonts w:cs="Arial"/>
          <w:szCs w:val="22"/>
        </w:rPr>
      </w:pPr>
      <w:r w:rsidRPr="002C207B">
        <w:rPr>
          <w:rFonts w:cs="Arial"/>
          <w:szCs w:val="22"/>
        </w:rPr>
        <w:tab/>
      </w:r>
      <w:r w:rsidRPr="002C207B">
        <w:rPr>
          <w:rFonts w:cs="Arial"/>
          <w:szCs w:val="22"/>
        </w:rPr>
        <w:tab/>
      </w:r>
      <w:r w:rsidRPr="002C207B">
        <w:rPr>
          <w:rFonts w:cs="Arial"/>
          <w:szCs w:val="22"/>
        </w:rPr>
        <w:tab/>
      </w:r>
      <w:proofErr w:type="spellStart"/>
      <w:r w:rsidRPr="002C207B">
        <w:rPr>
          <w:rFonts w:cs="Arial"/>
          <w:szCs w:val="22"/>
        </w:rPr>
        <w:t>Rf</w:t>
      </w:r>
      <w:proofErr w:type="spellEnd"/>
      <w:r w:rsidRPr="002C207B">
        <w:rPr>
          <w:rFonts w:cs="Arial"/>
          <w:szCs w:val="22"/>
        </w:rPr>
        <w:t xml:space="preserve"> = Risk-free rate</w:t>
      </w:r>
    </w:p>
    <w:p w14:paraId="791CF528" w14:textId="4115453F" w:rsidR="008E7776" w:rsidRDefault="008E7776" w:rsidP="008E7776">
      <w:pPr>
        <w:keepNext/>
        <w:keepLines/>
        <w:suppressLineNumbers/>
        <w:jc w:val="both"/>
        <w:rPr>
          <w:rFonts w:cs="Arial"/>
          <w:caps/>
          <w:szCs w:val="22"/>
        </w:rPr>
      </w:pPr>
    </w:p>
    <w:p w14:paraId="680E5D99" w14:textId="77777777" w:rsidR="008E7776" w:rsidRPr="002C207B" w:rsidRDefault="008E7776" w:rsidP="008E7776">
      <w:pPr>
        <w:keepNext/>
        <w:keepLines/>
        <w:suppressLineNumbers/>
        <w:jc w:val="both"/>
        <w:rPr>
          <w:rFonts w:cs="Arial"/>
          <w:caps/>
          <w:szCs w:val="22"/>
        </w:rPr>
      </w:pPr>
    </w:p>
    <w:p w14:paraId="62E21DE8" w14:textId="77777777" w:rsidR="00685365" w:rsidRPr="002C207B" w:rsidRDefault="00685365" w:rsidP="00685365">
      <w:pPr>
        <w:keepNext/>
        <w:keepLines/>
        <w:spacing w:line="480" w:lineRule="auto"/>
        <w:ind w:left="720" w:hanging="720"/>
        <w:jc w:val="both"/>
        <w:rPr>
          <w:rFonts w:cs="Arial"/>
          <w:b/>
          <w:bCs/>
          <w:caps/>
          <w:szCs w:val="22"/>
        </w:rPr>
      </w:pPr>
      <w:r w:rsidRPr="002C207B">
        <w:rPr>
          <w:rFonts w:cs="Arial"/>
          <w:b/>
          <w:bCs/>
          <w:caps/>
          <w:szCs w:val="22"/>
        </w:rPr>
        <w:t>Q</w:t>
      </w:r>
      <w:r w:rsidRPr="002C207B">
        <w:rPr>
          <w:rFonts w:cs="Arial"/>
          <w:b/>
          <w:bCs/>
          <w:caps/>
          <w:szCs w:val="22"/>
        </w:rPr>
        <w:tab/>
        <w:t>PLEASE DESCRIBE THE ISSUES YOU HAVE WITH MS. NELSON</w:t>
      </w:r>
      <w:r>
        <w:rPr>
          <w:rFonts w:cs="Arial"/>
          <w:b/>
          <w:bCs/>
          <w:caps/>
          <w:szCs w:val="22"/>
        </w:rPr>
        <w:t>’</w:t>
      </w:r>
      <w:r w:rsidRPr="002C207B">
        <w:rPr>
          <w:rFonts w:cs="Arial"/>
          <w:b/>
          <w:bCs/>
          <w:caps/>
          <w:szCs w:val="22"/>
        </w:rPr>
        <w:t xml:space="preserve">S </w:t>
      </w:r>
      <w:proofErr w:type="spellStart"/>
      <w:r w:rsidRPr="002C207B">
        <w:rPr>
          <w:rFonts w:cs="Arial"/>
          <w:b/>
          <w:bCs/>
          <w:caps/>
          <w:szCs w:val="22"/>
        </w:rPr>
        <w:t>CAPM</w:t>
      </w:r>
      <w:proofErr w:type="spellEnd"/>
      <w:r w:rsidRPr="002C207B">
        <w:rPr>
          <w:rFonts w:cs="Arial"/>
          <w:b/>
          <w:bCs/>
          <w:caps/>
          <w:szCs w:val="22"/>
        </w:rPr>
        <w:t xml:space="preserve"> STUDY.</w:t>
      </w:r>
    </w:p>
    <w:p w14:paraId="17A2453F" w14:textId="6E3BF4F4" w:rsidR="00685365" w:rsidRPr="002C207B" w:rsidRDefault="00685365" w:rsidP="00685365">
      <w:pPr>
        <w:tabs>
          <w:tab w:val="left" w:pos="720"/>
        </w:tabs>
        <w:overflowPunct w:val="0"/>
        <w:autoSpaceDE w:val="0"/>
        <w:autoSpaceDN w:val="0"/>
        <w:adjustRightInd w:val="0"/>
        <w:spacing w:line="480" w:lineRule="auto"/>
        <w:ind w:left="720" w:hanging="720"/>
        <w:jc w:val="both"/>
        <w:textAlignment w:val="baseline"/>
        <w:rPr>
          <w:rFonts w:cs="Arial"/>
          <w:szCs w:val="22"/>
        </w:rPr>
      </w:pPr>
      <w:r w:rsidRPr="002C207B">
        <w:rPr>
          <w:rFonts w:cs="Arial"/>
          <w:szCs w:val="22"/>
        </w:rPr>
        <w:t>A</w:t>
      </w:r>
      <w:r w:rsidRPr="002C207B">
        <w:rPr>
          <w:rFonts w:cs="Arial"/>
          <w:szCs w:val="22"/>
        </w:rPr>
        <w:tab/>
        <w:t>I have two primary issues with Ms. Nelson</w:t>
      </w:r>
      <w:r>
        <w:rPr>
          <w:rFonts w:cs="Arial"/>
          <w:szCs w:val="22"/>
        </w:rPr>
        <w:t>’</w:t>
      </w:r>
      <w:r w:rsidRPr="002C207B">
        <w:rPr>
          <w:rFonts w:cs="Arial"/>
          <w:szCs w:val="22"/>
        </w:rPr>
        <w:t xml:space="preserve">s </w:t>
      </w:r>
      <w:proofErr w:type="spellStart"/>
      <w:r w:rsidRPr="002C207B">
        <w:rPr>
          <w:rFonts w:cs="Arial"/>
          <w:szCs w:val="22"/>
        </w:rPr>
        <w:t>CAPM</w:t>
      </w:r>
      <w:proofErr w:type="spellEnd"/>
      <w:r w:rsidRPr="002C207B">
        <w:rPr>
          <w:rFonts w:cs="Arial"/>
          <w:szCs w:val="22"/>
        </w:rPr>
        <w:t xml:space="preserve"> study.  First, I believe the market risk premiums she used in all her </w:t>
      </w:r>
      <w:proofErr w:type="spellStart"/>
      <w:r w:rsidRPr="002C207B">
        <w:rPr>
          <w:rFonts w:cs="Arial"/>
          <w:szCs w:val="22"/>
        </w:rPr>
        <w:t>CAPM</w:t>
      </w:r>
      <w:proofErr w:type="spellEnd"/>
      <w:r w:rsidRPr="002C207B">
        <w:rPr>
          <w:rFonts w:cs="Arial"/>
          <w:szCs w:val="22"/>
        </w:rPr>
        <w:t xml:space="preserve"> studies are overstated because they do not </w:t>
      </w:r>
      <w:r w:rsidRPr="002C207B">
        <w:rPr>
          <w:rFonts w:cs="Arial"/>
          <w:szCs w:val="22"/>
        </w:rPr>
        <w:lastRenderedPageBreak/>
        <w:t>reflect a reasonable estimate of the expected return on the market.  Second, Ms. Nelson relies on a projected risk-free rate based on the 30-Year Treasury yield for the six quarter period ending Q</w:t>
      </w:r>
      <w:r>
        <w:rPr>
          <w:rFonts w:cs="Arial"/>
          <w:szCs w:val="22"/>
        </w:rPr>
        <w:t>3</w:t>
      </w:r>
      <w:r w:rsidRPr="002C207B">
        <w:rPr>
          <w:rFonts w:cs="Arial"/>
          <w:szCs w:val="22"/>
        </w:rPr>
        <w:t>, 2022, and the projected yields for the periods of 2022 to 2026 and 2027 to 2031</w:t>
      </w:r>
      <w:r>
        <w:rPr>
          <w:rFonts w:cs="Arial"/>
          <w:szCs w:val="22"/>
        </w:rPr>
        <w:t>, or five to ten years in the future</w:t>
      </w:r>
      <w:r w:rsidRPr="002C207B">
        <w:rPr>
          <w:rFonts w:cs="Arial"/>
          <w:szCs w:val="22"/>
        </w:rPr>
        <w:t xml:space="preserve">.  </w:t>
      </w:r>
      <w:r>
        <w:rPr>
          <w:rFonts w:cs="Arial"/>
          <w:szCs w:val="22"/>
        </w:rPr>
        <w:t xml:space="preserve">These long-term projected Treasury bond yields are expected to be in effect long after the rates determined in this proceeding will be in effect, and very well may go into effect after </w:t>
      </w:r>
      <w:proofErr w:type="spellStart"/>
      <w:r>
        <w:rPr>
          <w:rFonts w:cs="Arial"/>
          <w:szCs w:val="22"/>
        </w:rPr>
        <w:t>EPE</w:t>
      </w:r>
      <w:proofErr w:type="spellEnd"/>
      <w:r>
        <w:rPr>
          <w:rFonts w:cs="Arial"/>
          <w:szCs w:val="22"/>
        </w:rPr>
        <w:t xml:space="preserve"> files its next rate case.  As such, relying on projected Treasury bond yields five to ten years into the future does not reasonably nor accurately measure </w:t>
      </w:r>
      <w:proofErr w:type="spellStart"/>
      <w:r>
        <w:rPr>
          <w:rFonts w:cs="Arial"/>
          <w:szCs w:val="22"/>
        </w:rPr>
        <w:t>EPE’s</w:t>
      </w:r>
      <w:proofErr w:type="spellEnd"/>
      <w:r>
        <w:rPr>
          <w:rFonts w:cs="Arial"/>
          <w:szCs w:val="22"/>
        </w:rPr>
        <w:t xml:space="preserve"> cost of capital for setting rates in this case that will reflect its cost of capital during the period rates will be in effect.  </w:t>
      </w:r>
      <w:r w:rsidRPr="002C207B">
        <w:rPr>
          <w:rFonts w:cs="Arial"/>
          <w:szCs w:val="22"/>
        </w:rPr>
        <w:t>Ms. Nelson</w:t>
      </w:r>
      <w:r>
        <w:rPr>
          <w:rFonts w:cs="Arial"/>
          <w:szCs w:val="22"/>
        </w:rPr>
        <w:t>’</w:t>
      </w:r>
      <w:r w:rsidRPr="002C207B">
        <w:rPr>
          <w:rFonts w:cs="Arial"/>
          <w:szCs w:val="22"/>
        </w:rPr>
        <w:t xml:space="preserve">s consistent reliance on projected interest rates </w:t>
      </w:r>
      <w:r>
        <w:rPr>
          <w:rFonts w:cs="Arial"/>
          <w:szCs w:val="22"/>
        </w:rPr>
        <w:t>five to ten</w:t>
      </w:r>
      <w:r w:rsidRPr="002C207B">
        <w:rPr>
          <w:rFonts w:cs="Arial"/>
          <w:szCs w:val="22"/>
        </w:rPr>
        <w:t xml:space="preserve"> years out is unreasonable and should be rejected.  </w:t>
      </w:r>
      <w:r>
        <w:rPr>
          <w:rFonts w:cs="Arial"/>
          <w:szCs w:val="22"/>
        </w:rPr>
        <w:t>These issues are discussed in greater detail below.</w:t>
      </w:r>
    </w:p>
    <w:p w14:paraId="47472DF2" w14:textId="77777777" w:rsidR="00685365" w:rsidRPr="002C207B" w:rsidRDefault="00685365" w:rsidP="00685365">
      <w:pPr>
        <w:keepNext/>
        <w:keepLines/>
        <w:suppressLineNumbers/>
        <w:spacing w:line="480" w:lineRule="auto"/>
        <w:ind w:left="720" w:hanging="720"/>
        <w:jc w:val="both"/>
        <w:rPr>
          <w:rFonts w:cs="Arial"/>
          <w:caps/>
          <w:szCs w:val="22"/>
        </w:rPr>
      </w:pPr>
    </w:p>
    <w:p w14:paraId="10BA6F43" w14:textId="77777777" w:rsidR="00685365" w:rsidRPr="002C207B" w:rsidRDefault="00685365" w:rsidP="00685365">
      <w:pPr>
        <w:keepNext/>
        <w:spacing w:line="480" w:lineRule="auto"/>
        <w:ind w:left="720" w:hanging="720"/>
        <w:jc w:val="both"/>
        <w:rPr>
          <w:rFonts w:cs="Arial"/>
          <w:b/>
          <w:bCs/>
          <w:caps/>
          <w:szCs w:val="22"/>
        </w:rPr>
      </w:pPr>
      <w:r w:rsidRPr="002C207B">
        <w:rPr>
          <w:rFonts w:cs="Arial"/>
          <w:b/>
          <w:bCs/>
          <w:caps/>
          <w:szCs w:val="22"/>
        </w:rPr>
        <w:t>Q</w:t>
      </w:r>
      <w:r w:rsidRPr="002C207B">
        <w:rPr>
          <w:rFonts w:cs="Arial"/>
          <w:b/>
          <w:bCs/>
          <w:caps/>
          <w:szCs w:val="22"/>
        </w:rPr>
        <w:tab/>
        <w:t>PLEASE DESCRIBE MS. NELSON</w:t>
      </w:r>
      <w:r>
        <w:rPr>
          <w:rFonts w:cs="Arial"/>
          <w:b/>
          <w:bCs/>
          <w:caps/>
          <w:szCs w:val="22"/>
        </w:rPr>
        <w:t>’</w:t>
      </w:r>
      <w:r w:rsidRPr="002C207B">
        <w:rPr>
          <w:rFonts w:cs="Arial"/>
          <w:b/>
          <w:bCs/>
          <w:caps/>
          <w:szCs w:val="22"/>
        </w:rPr>
        <w:t>S MARKET RISK PREMIUMS.</w:t>
      </w:r>
    </w:p>
    <w:p w14:paraId="5B4B28B7" w14:textId="77777777" w:rsidR="00685365" w:rsidRDefault="00685365" w:rsidP="00685365">
      <w:pPr>
        <w:tabs>
          <w:tab w:val="left" w:pos="720"/>
        </w:tabs>
        <w:overflowPunct w:val="0"/>
        <w:autoSpaceDE w:val="0"/>
        <w:autoSpaceDN w:val="0"/>
        <w:adjustRightInd w:val="0"/>
        <w:spacing w:line="480" w:lineRule="auto"/>
        <w:ind w:left="720" w:hanging="720"/>
        <w:jc w:val="both"/>
        <w:textAlignment w:val="baseline"/>
        <w:rPr>
          <w:rFonts w:cs="Arial"/>
          <w:szCs w:val="22"/>
        </w:rPr>
      </w:pPr>
      <w:r w:rsidRPr="002C207B">
        <w:rPr>
          <w:rFonts w:cs="Arial"/>
          <w:szCs w:val="22"/>
        </w:rPr>
        <w:t>A</w:t>
      </w:r>
      <w:r w:rsidRPr="002C207B">
        <w:rPr>
          <w:rFonts w:cs="Arial"/>
          <w:szCs w:val="22"/>
        </w:rPr>
        <w:tab/>
        <w:t xml:space="preserve">Ms. Nelson derived her market risk premiums by developing a DCF analysis for the market (S&amp;P 500).  Ms. Nelson used two market risk premium estimates of </w:t>
      </w:r>
      <w:r>
        <w:rPr>
          <w:rFonts w:cs="Arial"/>
          <w:szCs w:val="22"/>
        </w:rPr>
        <w:t>11.90</w:t>
      </w:r>
      <w:r w:rsidRPr="002C207B">
        <w:rPr>
          <w:rFonts w:cs="Arial"/>
          <w:szCs w:val="22"/>
        </w:rPr>
        <w:t>%, and 11.</w:t>
      </w:r>
      <w:r>
        <w:rPr>
          <w:rFonts w:cs="Arial"/>
          <w:szCs w:val="22"/>
        </w:rPr>
        <w:t xml:space="preserve">32% based on the </w:t>
      </w:r>
      <w:r w:rsidRPr="002C207B">
        <w:rPr>
          <w:rFonts w:cs="Arial"/>
          <w:szCs w:val="22"/>
        </w:rPr>
        <w:t xml:space="preserve">DCF market return of </w:t>
      </w:r>
      <w:r>
        <w:rPr>
          <w:rFonts w:cs="Arial"/>
          <w:szCs w:val="22"/>
        </w:rPr>
        <w:t>14.21%</w:t>
      </w:r>
      <w:r w:rsidRPr="002C207B">
        <w:rPr>
          <w:rFonts w:cs="Arial"/>
          <w:szCs w:val="22"/>
        </w:rPr>
        <w:t xml:space="preserve"> from </w:t>
      </w:r>
      <w:r>
        <w:rPr>
          <w:rFonts w:cs="Arial"/>
          <w:szCs w:val="22"/>
        </w:rPr>
        <w:t>Value Line</w:t>
      </w:r>
      <w:r w:rsidRPr="002C207B">
        <w:rPr>
          <w:rFonts w:cs="Arial"/>
          <w:szCs w:val="22"/>
        </w:rPr>
        <w:t xml:space="preserve"> less the current and projected 30</w:t>
      </w:r>
      <w:r w:rsidRPr="002C207B">
        <w:rPr>
          <w:rFonts w:cs="Arial"/>
          <w:szCs w:val="22"/>
        </w:rPr>
        <w:noBreakHyphen/>
        <w:t xml:space="preserve">year Treasury bond yields of </w:t>
      </w:r>
      <w:r>
        <w:rPr>
          <w:rFonts w:cs="Arial"/>
          <w:szCs w:val="22"/>
        </w:rPr>
        <w:t>2.31%, and 2.8</w:t>
      </w:r>
      <w:r w:rsidRPr="002C207B">
        <w:rPr>
          <w:rFonts w:cs="Arial"/>
          <w:szCs w:val="22"/>
        </w:rPr>
        <w:t>8%, respectively.</w:t>
      </w:r>
      <w:r>
        <w:rPr>
          <w:rFonts w:cs="Arial"/>
          <w:szCs w:val="22"/>
          <w:vertAlign w:val="superscript"/>
        </w:rPr>
        <w:footnoteReference w:id="47"/>
      </w:r>
      <w:r w:rsidRPr="002C207B">
        <w:rPr>
          <w:rFonts w:cs="Arial"/>
          <w:szCs w:val="22"/>
        </w:rPr>
        <w:t xml:space="preserve">  </w:t>
      </w:r>
    </w:p>
    <w:p w14:paraId="6D65EA57" w14:textId="77777777" w:rsidR="00685365" w:rsidRPr="002C207B" w:rsidRDefault="00685365" w:rsidP="00685365">
      <w:pPr>
        <w:suppressLineNumbers/>
        <w:tabs>
          <w:tab w:val="left" w:pos="720"/>
        </w:tabs>
        <w:overflowPunct w:val="0"/>
        <w:autoSpaceDE w:val="0"/>
        <w:autoSpaceDN w:val="0"/>
        <w:adjustRightInd w:val="0"/>
        <w:spacing w:line="480" w:lineRule="auto"/>
        <w:ind w:left="720" w:hanging="720"/>
        <w:jc w:val="both"/>
        <w:textAlignment w:val="baseline"/>
        <w:rPr>
          <w:rFonts w:cs="Arial"/>
          <w:szCs w:val="22"/>
        </w:rPr>
      </w:pPr>
    </w:p>
    <w:p w14:paraId="79DC0117" w14:textId="77777777" w:rsidR="00685365" w:rsidRPr="002C207B" w:rsidRDefault="00685365" w:rsidP="00685365">
      <w:pPr>
        <w:keepNext/>
        <w:keepLines/>
        <w:spacing w:line="480" w:lineRule="auto"/>
        <w:ind w:left="720" w:hanging="720"/>
        <w:jc w:val="both"/>
        <w:rPr>
          <w:rFonts w:cs="Arial"/>
          <w:b/>
          <w:bCs/>
          <w:caps/>
          <w:szCs w:val="22"/>
        </w:rPr>
      </w:pPr>
      <w:r w:rsidRPr="002C207B">
        <w:rPr>
          <w:rFonts w:cs="Arial"/>
          <w:b/>
          <w:bCs/>
          <w:caps/>
          <w:szCs w:val="22"/>
        </w:rPr>
        <w:t>Q</w:t>
      </w:r>
      <w:r w:rsidRPr="002C207B">
        <w:rPr>
          <w:rFonts w:cs="Arial"/>
          <w:b/>
          <w:bCs/>
          <w:caps/>
          <w:szCs w:val="22"/>
        </w:rPr>
        <w:tab/>
        <w:t>WHAT ISSUES DO YOU HAVE WITH MS. NELSON</w:t>
      </w:r>
      <w:r>
        <w:rPr>
          <w:rFonts w:cs="Arial"/>
          <w:b/>
          <w:bCs/>
          <w:caps/>
          <w:szCs w:val="22"/>
        </w:rPr>
        <w:t>’</w:t>
      </w:r>
      <w:r w:rsidRPr="002C207B">
        <w:rPr>
          <w:rFonts w:cs="Arial"/>
          <w:b/>
          <w:bCs/>
          <w:caps/>
          <w:szCs w:val="22"/>
        </w:rPr>
        <w:t>S MARKET RISK PREMIUM ESTIMATES?</w:t>
      </w:r>
    </w:p>
    <w:p w14:paraId="0822C85E" w14:textId="77777777" w:rsidR="00685365" w:rsidRPr="002C207B" w:rsidRDefault="00685365" w:rsidP="00685365">
      <w:pPr>
        <w:tabs>
          <w:tab w:val="left" w:pos="720"/>
        </w:tabs>
        <w:overflowPunct w:val="0"/>
        <w:autoSpaceDE w:val="0"/>
        <w:autoSpaceDN w:val="0"/>
        <w:adjustRightInd w:val="0"/>
        <w:spacing w:line="480" w:lineRule="auto"/>
        <w:ind w:left="720" w:hanging="720"/>
        <w:jc w:val="both"/>
        <w:textAlignment w:val="baseline"/>
        <w:rPr>
          <w:rFonts w:cs="Arial"/>
          <w:szCs w:val="22"/>
        </w:rPr>
      </w:pPr>
      <w:r w:rsidRPr="002C207B">
        <w:rPr>
          <w:rFonts w:cs="Arial"/>
          <w:szCs w:val="22"/>
        </w:rPr>
        <w:t>A</w:t>
      </w:r>
      <w:r w:rsidRPr="002C207B">
        <w:rPr>
          <w:rFonts w:cs="Arial"/>
          <w:szCs w:val="22"/>
        </w:rPr>
        <w:tab/>
        <w:t>Ms. Nelson</w:t>
      </w:r>
      <w:r>
        <w:rPr>
          <w:rFonts w:cs="Arial"/>
          <w:szCs w:val="22"/>
        </w:rPr>
        <w:t>’</w:t>
      </w:r>
      <w:r w:rsidRPr="002C207B">
        <w:rPr>
          <w:rFonts w:cs="Arial"/>
          <w:szCs w:val="22"/>
        </w:rPr>
        <w:t xml:space="preserve">s DCF-derived market risk premium is based on an average market return of </w:t>
      </w:r>
      <w:r>
        <w:rPr>
          <w:rFonts w:cs="Arial"/>
          <w:szCs w:val="22"/>
        </w:rPr>
        <w:t>14.21</w:t>
      </w:r>
      <w:r w:rsidRPr="002C207B">
        <w:rPr>
          <w:rFonts w:cs="Arial"/>
          <w:szCs w:val="22"/>
        </w:rPr>
        <w:t>%,</w:t>
      </w:r>
      <w:r>
        <w:rPr>
          <w:rFonts w:cs="Arial"/>
          <w:szCs w:val="22"/>
          <w:vertAlign w:val="superscript"/>
        </w:rPr>
        <w:footnoteReference w:id="48"/>
      </w:r>
      <w:r w:rsidRPr="002C207B">
        <w:rPr>
          <w:rFonts w:cs="Arial"/>
          <w:szCs w:val="22"/>
        </w:rPr>
        <w:t xml:space="preserve"> which consist</w:t>
      </w:r>
      <w:r>
        <w:rPr>
          <w:rFonts w:cs="Arial"/>
          <w:szCs w:val="22"/>
        </w:rPr>
        <w:t>s</w:t>
      </w:r>
      <w:r w:rsidRPr="002C207B">
        <w:rPr>
          <w:rFonts w:cs="Arial"/>
          <w:szCs w:val="22"/>
        </w:rPr>
        <w:t xml:space="preserve"> of a growth rate component of approximately 12.</w:t>
      </w:r>
      <w:r>
        <w:rPr>
          <w:rFonts w:cs="Arial"/>
          <w:szCs w:val="22"/>
        </w:rPr>
        <w:t>56</w:t>
      </w:r>
      <w:r w:rsidRPr="002C207B">
        <w:rPr>
          <w:rFonts w:cs="Arial"/>
          <w:szCs w:val="22"/>
        </w:rPr>
        <w:t xml:space="preserve">% and </w:t>
      </w:r>
      <w:r w:rsidRPr="002C207B">
        <w:rPr>
          <w:rFonts w:cs="Arial"/>
          <w:szCs w:val="22"/>
        </w:rPr>
        <w:lastRenderedPageBreak/>
        <w:t>market-weighted dividend yields of 1.6</w:t>
      </w:r>
      <w:r>
        <w:rPr>
          <w:rFonts w:cs="Arial"/>
          <w:szCs w:val="22"/>
        </w:rPr>
        <w:t>5</w:t>
      </w:r>
      <w:r w:rsidRPr="002C207B">
        <w:rPr>
          <w:rFonts w:cs="Arial"/>
          <w:szCs w:val="22"/>
        </w:rPr>
        <w:t>%.  As discussed above with respect to my own DCF model, the DCF model requires a long-term sustainable growth rate.  Ms. Nelson</w:t>
      </w:r>
      <w:r>
        <w:rPr>
          <w:rFonts w:cs="Arial"/>
          <w:szCs w:val="22"/>
        </w:rPr>
        <w:t>’</w:t>
      </w:r>
      <w:r w:rsidRPr="002C207B">
        <w:rPr>
          <w:rFonts w:cs="Arial"/>
          <w:szCs w:val="22"/>
        </w:rPr>
        <w:t>s sustainable market growth rate of 12.</w:t>
      </w:r>
      <w:r>
        <w:rPr>
          <w:rFonts w:cs="Arial"/>
          <w:szCs w:val="22"/>
        </w:rPr>
        <w:t>56</w:t>
      </w:r>
      <w:r w:rsidRPr="002C207B">
        <w:rPr>
          <w:rFonts w:cs="Arial"/>
          <w:szCs w:val="22"/>
        </w:rPr>
        <w:t xml:space="preserve">% is far too high to be a rational outlook for sustainable long-term market growth.  These growth rates are </w:t>
      </w:r>
      <w:r>
        <w:rPr>
          <w:rFonts w:cs="Arial"/>
          <w:szCs w:val="22"/>
        </w:rPr>
        <w:t>nearly three</w:t>
      </w:r>
      <w:r w:rsidRPr="002C207B">
        <w:rPr>
          <w:rFonts w:cs="Arial"/>
          <w:szCs w:val="22"/>
        </w:rPr>
        <w:t xml:space="preserve"> times the </w:t>
      </w:r>
      <w:r>
        <w:rPr>
          <w:rFonts w:cs="Arial"/>
          <w:szCs w:val="22"/>
        </w:rPr>
        <w:t xml:space="preserve">long-term </w:t>
      </w:r>
      <w:r w:rsidRPr="002C207B">
        <w:rPr>
          <w:rFonts w:cs="Arial"/>
          <w:szCs w:val="22"/>
        </w:rPr>
        <w:t xml:space="preserve">growth rate </w:t>
      </w:r>
      <w:r>
        <w:rPr>
          <w:rFonts w:cs="Arial"/>
          <w:szCs w:val="22"/>
        </w:rPr>
        <w:t xml:space="preserve">outlook for </w:t>
      </w:r>
      <w:r w:rsidRPr="002C207B">
        <w:rPr>
          <w:rFonts w:cs="Arial"/>
          <w:szCs w:val="22"/>
        </w:rPr>
        <w:t>the U.S. GDP</w:t>
      </w:r>
      <w:r>
        <w:rPr>
          <w:rFonts w:cs="Arial"/>
          <w:szCs w:val="22"/>
        </w:rPr>
        <w:t>, which is 4.35%</w:t>
      </w:r>
      <w:r w:rsidRPr="002C207B">
        <w:rPr>
          <w:rFonts w:cs="Arial"/>
          <w:szCs w:val="22"/>
        </w:rPr>
        <w:t xml:space="preserve"> as discussed above.  </w:t>
      </w:r>
    </w:p>
    <w:p w14:paraId="396D7F1D" w14:textId="77777777" w:rsidR="00685365" w:rsidRPr="002C207B" w:rsidRDefault="00685365" w:rsidP="00685365">
      <w:pPr>
        <w:tabs>
          <w:tab w:val="left" w:pos="720"/>
        </w:tabs>
        <w:overflowPunct w:val="0"/>
        <w:autoSpaceDE w:val="0"/>
        <w:autoSpaceDN w:val="0"/>
        <w:adjustRightInd w:val="0"/>
        <w:spacing w:line="480" w:lineRule="auto"/>
        <w:ind w:left="720" w:hanging="720"/>
        <w:jc w:val="both"/>
        <w:textAlignment w:val="baseline"/>
        <w:rPr>
          <w:rFonts w:cs="Arial"/>
          <w:szCs w:val="22"/>
        </w:rPr>
      </w:pPr>
      <w:r w:rsidRPr="002C207B">
        <w:rPr>
          <w:rFonts w:cs="Arial"/>
          <w:szCs w:val="22"/>
        </w:rPr>
        <w:tab/>
      </w:r>
      <w:r w:rsidRPr="002C207B">
        <w:rPr>
          <w:rFonts w:cs="Arial"/>
          <w:szCs w:val="22"/>
        </w:rPr>
        <w:tab/>
        <w:t>As a result of these unreasonable long-term market growth rate estimates, Ms. Nelson</w:t>
      </w:r>
      <w:r>
        <w:rPr>
          <w:rFonts w:cs="Arial"/>
          <w:szCs w:val="22"/>
        </w:rPr>
        <w:t>’</w:t>
      </w:r>
      <w:r w:rsidRPr="002C207B">
        <w:rPr>
          <w:rFonts w:cs="Arial"/>
          <w:szCs w:val="22"/>
        </w:rPr>
        <w:t xml:space="preserve">s market DCF returns used in her </w:t>
      </w:r>
      <w:proofErr w:type="spellStart"/>
      <w:r w:rsidRPr="002C207B">
        <w:rPr>
          <w:rFonts w:cs="Arial"/>
          <w:szCs w:val="22"/>
        </w:rPr>
        <w:t>CAPM</w:t>
      </w:r>
      <w:proofErr w:type="spellEnd"/>
      <w:r w:rsidRPr="002C207B">
        <w:rPr>
          <w:rFonts w:cs="Arial"/>
          <w:szCs w:val="22"/>
        </w:rPr>
        <w:t xml:space="preserve"> analyses are inflated and not reliable.  Consequently, Ms. Nelson</w:t>
      </w:r>
      <w:r>
        <w:rPr>
          <w:rFonts w:cs="Arial"/>
          <w:szCs w:val="22"/>
        </w:rPr>
        <w:t>’</w:t>
      </w:r>
      <w:r w:rsidRPr="002C207B">
        <w:rPr>
          <w:rFonts w:cs="Arial"/>
          <w:szCs w:val="22"/>
        </w:rPr>
        <w:t xml:space="preserve">s market risk premiums should be given minimal weight in estimating </w:t>
      </w:r>
      <w:proofErr w:type="spellStart"/>
      <w:r>
        <w:rPr>
          <w:rFonts w:cs="Arial"/>
          <w:szCs w:val="22"/>
        </w:rPr>
        <w:t>EPE’</w:t>
      </w:r>
      <w:r w:rsidRPr="002C207B">
        <w:rPr>
          <w:rFonts w:cs="Arial"/>
          <w:szCs w:val="22"/>
        </w:rPr>
        <w:t>s</w:t>
      </w:r>
      <w:proofErr w:type="spellEnd"/>
      <w:r w:rsidRPr="002C207B">
        <w:rPr>
          <w:rFonts w:cs="Arial"/>
          <w:szCs w:val="22"/>
        </w:rPr>
        <w:t xml:space="preserve"> </w:t>
      </w:r>
      <w:proofErr w:type="spellStart"/>
      <w:r w:rsidRPr="002C207B">
        <w:rPr>
          <w:rFonts w:cs="Arial"/>
          <w:szCs w:val="22"/>
        </w:rPr>
        <w:t>CAPM</w:t>
      </w:r>
      <w:proofErr w:type="spellEnd"/>
      <w:r w:rsidRPr="002C207B">
        <w:rPr>
          <w:rFonts w:cs="Arial"/>
          <w:szCs w:val="22"/>
        </w:rPr>
        <w:t>-based return on equity.</w:t>
      </w:r>
    </w:p>
    <w:p w14:paraId="38B24185" w14:textId="77777777" w:rsidR="00685365" w:rsidRPr="002C207B" w:rsidRDefault="00685365" w:rsidP="00685365">
      <w:pPr>
        <w:keepNext/>
        <w:keepLines/>
        <w:suppressLineNumbers/>
        <w:spacing w:line="480" w:lineRule="auto"/>
        <w:ind w:left="720" w:hanging="720"/>
        <w:jc w:val="both"/>
        <w:rPr>
          <w:rFonts w:cs="Arial"/>
          <w:caps/>
          <w:szCs w:val="22"/>
        </w:rPr>
      </w:pPr>
    </w:p>
    <w:p w14:paraId="298857D2" w14:textId="77777777" w:rsidR="00685365" w:rsidRPr="002C207B" w:rsidRDefault="00685365" w:rsidP="00685365">
      <w:pPr>
        <w:keepNext/>
        <w:spacing w:line="480" w:lineRule="auto"/>
        <w:ind w:left="720" w:hanging="720"/>
        <w:jc w:val="both"/>
        <w:rPr>
          <w:rFonts w:cs="Arial"/>
          <w:b/>
          <w:bCs/>
          <w:caps/>
          <w:szCs w:val="22"/>
        </w:rPr>
      </w:pPr>
      <w:r w:rsidRPr="002C207B">
        <w:rPr>
          <w:rFonts w:cs="Arial"/>
          <w:b/>
          <w:bCs/>
          <w:caps/>
          <w:szCs w:val="22"/>
        </w:rPr>
        <w:t>Q</w:t>
      </w:r>
      <w:r w:rsidRPr="002C207B">
        <w:rPr>
          <w:rFonts w:cs="Arial"/>
          <w:b/>
          <w:bCs/>
          <w:caps/>
          <w:szCs w:val="22"/>
        </w:rPr>
        <w:tab/>
        <w:t>DO HISTORICAL ACTUAL RETURNS ON THE MARKET SUPPORT MS. NELSON</w:t>
      </w:r>
      <w:r>
        <w:rPr>
          <w:rFonts w:cs="Arial"/>
          <w:b/>
          <w:bCs/>
          <w:caps/>
          <w:szCs w:val="22"/>
        </w:rPr>
        <w:t>’</w:t>
      </w:r>
      <w:r w:rsidRPr="002C207B">
        <w:rPr>
          <w:rFonts w:cs="Arial"/>
          <w:b/>
          <w:bCs/>
          <w:caps/>
          <w:szCs w:val="22"/>
        </w:rPr>
        <w:t>S PROJECTED MARKET RETURNS?</w:t>
      </w:r>
    </w:p>
    <w:p w14:paraId="6E9DD838" w14:textId="77777777" w:rsidR="00685365" w:rsidRPr="007114B7" w:rsidRDefault="00685365" w:rsidP="00685365">
      <w:pPr>
        <w:tabs>
          <w:tab w:val="left" w:pos="720"/>
        </w:tabs>
        <w:spacing w:line="480" w:lineRule="auto"/>
        <w:ind w:left="720" w:hanging="720"/>
        <w:jc w:val="both"/>
        <w:rPr>
          <w:rFonts w:cs="Arial"/>
          <w:szCs w:val="22"/>
        </w:rPr>
      </w:pPr>
      <w:r w:rsidRPr="002C207B">
        <w:rPr>
          <w:rFonts w:cs="Arial"/>
          <w:szCs w:val="22"/>
        </w:rPr>
        <w:t>A</w:t>
      </w:r>
      <w:r w:rsidRPr="002C207B">
        <w:rPr>
          <w:rFonts w:cs="Arial"/>
          <w:szCs w:val="22"/>
        </w:rPr>
        <w:tab/>
      </w:r>
      <w:r w:rsidRPr="007114B7">
        <w:rPr>
          <w:rFonts w:cs="Arial"/>
          <w:szCs w:val="22"/>
        </w:rPr>
        <w:t>No.  Historical data shows j</w:t>
      </w:r>
      <w:r>
        <w:rPr>
          <w:rFonts w:cs="Arial"/>
          <w:szCs w:val="22"/>
        </w:rPr>
        <w:t>ust how unreasonable Ms. Nelson’</w:t>
      </w:r>
      <w:r w:rsidRPr="007114B7">
        <w:rPr>
          <w:rFonts w:cs="Arial"/>
          <w:szCs w:val="22"/>
        </w:rPr>
        <w:t>s projected DCF return on the market is on a going-forward basis.  Duff &amp; Phelps estimates the actual capital appreciation for the S&amp;P 500 over the period 1926 through 2020 to have been 6.2% to 8.0%.</w:t>
      </w:r>
      <w:r w:rsidRPr="007114B7">
        <w:rPr>
          <w:rFonts w:cs="Arial"/>
          <w:szCs w:val="22"/>
          <w:vertAlign w:val="superscript"/>
        </w:rPr>
        <w:footnoteReference w:id="49"/>
      </w:r>
      <w:r w:rsidRPr="007114B7">
        <w:rPr>
          <w:rFonts w:cs="Arial"/>
          <w:szCs w:val="22"/>
        </w:rPr>
        <w:t xml:space="preserve">  This compares to Ms. </w:t>
      </w:r>
      <w:r>
        <w:rPr>
          <w:rFonts w:cs="Arial"/>
          <w:szCs w:val="22"/>
        </w:rPr>
        <w:t>Nelson’</w:t>
      </w:r>
      <w:r w:rsidRPr="007114B7">
        <w:rPr>
          <w:rFonts w:cs="Arial"/>
          <w:szCs w:val="22"/>
        </w:rPr>
        <w:t>s projected g</w:t>
      </w:r>
      <w:r>
        <w:rPr>
          <w:rFonts w:cs="Arial"/>
          <w:szCs w:val="22"/>
        </w:rPr>
        <w:t>rowth rate of the market of 12.56</w:t>
      </w:r>
      <w:r w:rsidRPr="007114B7">
        <w:rPr>
          <w:rFonts w:cs="Arial"/>
          <w:szCs w:val="22"/>
        </w:rPr>
        <w:t xml:space="preserve">%. </w:t>
      </w:r>
    </w:p>
    <w:p w14:paraId="387CE0BE" w14:textId="77777777" w:rsidR="00685365" w:rsidRPr="007114B7" w:rsidRDefault="00685365" w:rsidP="00685365">
      <w:pPr>
        <w:tabs>
          <w:tab w:val="left" w:pos="720"/>
        </w:tabs>
        <w:spacing w:line="480" w:lineRule="auto"/>
        <w:ind w:left="720" w:hanging="720"/>
        <w:jc w:val="both"/>
        <w:rPr>
          <w:rFonts w:cs="Arial"/>
          <w:szCs w:val="22"/>
        </w:rPr>
      </w:pPr>
      <w:r w:rsidRPr="007114B7">
        <w:rPr>
          <w:rFonts w:cs="Arial"/>
          <w:szCs w:val="22"/>
        </w:rPr>
        <w:tab/>
      </w:r>
      <w:r w:rsidRPr="007114B7">
        <w:rPr>
          <w:rFonts w:cs="Arial"/>
          <w:szCs w:val="22"/>
        </w:rPr>
        <w:tab/>
        <w:t>Further, historically the geometric growth of the market of 6.2%</w:t>
      </w:r>
      <w:r w:rsidRPr="007114B7">
        <w:rPr>
          <w:rFonts w:cs="Arial"/>
          <w:szCs w:val="22"/>
          <w:vertAlign w:val="superscript"/>
        </w:rPr>
        <w:footnoteReference w:id="50"/>
      </w:r>
      <w:r w:rsidRPr="007114B7">
        <w:rPr>
          <w:rFonts w:cs="Arial"/>
          <w:szCs w:val="22"/>
        </w:rPr>
        <w:t xml:space="preserve"> has reflected geometric growth of GDP over this same time period of approximately 6.2%.</w:t>
      </w:r>
      <w:r w:rsidRPr="007114B7">
        <w:rPr>
          <w:rFonts w:cs="Arial"/>
          <w:szCs w:val="22"/>
          <w:vertAlign w:val="superscript"/>
        </w:rPr>
        <w:footnoteReference w:id="51"/>
      </w:r>
      <w:r w:rsidRPr="007114B7">
        <w:rPr>
          <w:rFonts w:cs="Arial"/>
          <w:szCs w:val="22"/>
        </w:rPr>
        <w:t xml:space="preserve">  </w:t>
      </w:r>
    </w:p>
    <w:p w14:paraId="29C6B15E" w14:textId="77777777" w:rsidR="00685365" w:rsidRPr="007114B7" w:rsidRDefault="00685365" w:rsidP="00685365">
      <w:pPr>
        <w:tabs>
          <w:tab w:val="left" w:pos="720"/>
        </w:tabs>
        <w:spacing w:line="480" w:lineRule="auto"/>
        <w:ind w:left="720" w:hanging="720"/>
        <w:jc w:val="both"/>
        <w:rPr>
          <w:rFonts w:cs="Arial"/>
          <w:szCs w:val="22"/>
        </w:rPr>
      </w:pPr>
      <w:r w:rsidRPr="007114B7">
        <w:rPr>
          <w:rFonts w:cs="Arial"/>
          <w:szCs w:val="22"/>
        </w:rPr>
        <w:tab/>
      </w:r>
      <w:r w:rsidRPr="007114B7">
        <w:rPr>
          <w:rFonts w:cs="Arial"/>
          <w:szCs w:val="22"/>
        </w:rPr>
        <w:tab/>
        <w:t xml:space="preserve">This review of historical data establishes two facts very clearly.  First, historical, actual achieved growth has been substantially less than projected by Ms. </w:t>
      </w:r>
      <w:r>
        <w:rPr>
          <w:rFonts w:cs="Arial"/>
          <w:szCs w:val="22"/>
        </w:rPr>
        <w:t>Nelson</w:t>
      </w:r>
      <w:r w:rsidRPr="007114B7">
        <w:rPr>
          <w:rFonts w:cs="Arial"/>
          <w:szCs w:val="22"/>
        </w:rPr>
        <w:t>.  Second, historical growth of the market has tracked historical growth of the U.S. GDP.  Projected growth of the U.S. GDP is now closer to the 4.0% to 4.5% range.  All this information strongly supports</w:t>
      </w:r>
      <w:r>
        <w:rPr>
          <w:rFonts w:cs="Arial"/>
          <w:szCs w:val="22"/>
        </w:rPr>
        <w:t xml:space="preserve"> the conclusion that Ms. Nelson’</w:t>
      </w:r>
      <w:r w:rsidRPr="007114B7">
        <w:rPr>
          <w:rFonts w:cs="Arial"/>
          <w:szCs w:val="22"/>
        </w:rPr>
        <w:t xml:space="preserve">s projected growth rate </w:t>
      </w:r>
      <w:r w:rsidRPr="007114B7">
        <w:rPr>
          <w:rFonts w:cs="Arial"/>
          <w:szCs w:val="22"/>
        </w:rPr>
        <w:lastRenderedPageBreak/>
        <w:t>on the market of 12.</w:t>
      </w:r>
      <w:r>
        <w:rPr>
          <w:rFonts w:cs="Arial"/>
          <w:szCs w:val="22"/>
        </w:rPr>
        <w:t>56</w:t>
      </w:r>
      <w:r w:rsidRPr="007114B7">
        <w:rPr>
          <w:rFonts w:cs="Arial"/>
          <w:szCs w:val="22"/>
        </w:rPr>
        <w:t>% is substantially overstated.  While I do not endorse the use of a historical growth rate to draw assessments of the market</w:t>
      </w:r>
      <w:r>
        <w:rPr>
          <w:rFonts w:cs="Arial"/>
          <w:szCs w:val="22"/>
        </w:rPr>
        <w:t>’</w:t>
      </w:r>
      <w:r w:rsidRPr="007114B7">
        <w:rPr>
          <w:rFonts w:cs="Arial"/>
          <w:szCs w:val="22"/>
        </w:rPr>
        <w:t>s forward-looking growth rate outlooks, this data can be used to show how unreasonable and inflated M</w:t>
      </w:r>
      <w:r>
        <w:rPr>
          <w:rFonts w:cs="Arial"/>
          <w:szCs w:val="22"/>
        </w:rPr>
        <w:t>s. Nelson’</w:t>
      </w:r>
      <w:r w:rsidRPr="007114B7">
        <w:rPr>
          <w:rFonts w:cs="Arial"/>
          <w:szCs w:val="22"/>
        </w:rPr>
        <w:t xml:space="preserve">s market return estimate is.  </w:t>
      </w:r>
    </w:p>
    <w:p w14:paraId="468F1C8B" w14:textId="77777777" w:rsidR="00685365" w:rsidRPr="007114B7" w:rsidRDefault="00685365" w:rsidP="00685365">
      <w:pPr>
        <w:suppressLineNumbers/>
        <w:spacing w:line="480" w:lineRule="auto"/>
        <w:ind w:left="720" w:hanging="720"/>
        <w:jc w:val="both"/>
        <w:rPr>
          <w:color w:val="000000"/>
        </w:rPr>
      </w:pPr>
    </w:p>
    <w:p w14:paraId="7B46DF94" w14:textId="77777777" w:rsidR="00685365" w:rsidRPr="002C207B" w:rsidRDefault="00685365" w:rsidP="00685365">
      <w:pPr>
        <w:spacing w:line="480" w:lineRule="auto"/>
        <w:ind w:left="720" w:hanging="720"/>
        <w:jc w:val="both"/>
        <w:rPr>
          <w:rFonts w:cs="Arial"/>
          <w:b/>
          <w:bCs/>
          <w:caps/>
          <w:szCs w:val="22"/>
        </w:rPr>
      </w:pPr>
      <w:r w:rsidRPr="002C207B">
        <w:rPr>
          <w:rFonts w:cs="Arial"/>
          <w:b/>
          <w:bCs/>
          <w:caps/>
          <w:szCs w:val="22"/>
        </w:rPr>
        <w:t>Q</w:t>
      </w:r>
      <w:r w:rsidRPr="002C207B">
        <w:rPr>
          <w:rFonts w:cs="Arial"/>
          <w:b/>
          <w:bCs/>
          <w:caps/>
          <w:szCs w:val="22"/>
        </w:rPr>
        <w:tab/>
        <w:t>WHY DO YOU BELIEVE MS. NELSON</w:t>
      </w:r>
      <w:r>
        <w:rPr>
          <w:rFonts w:cs="Arial"/>
          <w:b/>
          <w:bCs/>
          <w:caps/>
          <w:szCs w:val="22"/>
        </w:rPr>
        <w:t>’</w:t>
      </w:r>
      <w:r w:rsidRPr="002C207B">
        <w:rPr>
          <w:rFonts w:cs="Arial"/>
          <w:b/>
          <w:bCs/>
          <w:caps/>
          <w:szCs w:val="22"/>
        </w:rPr>
        <w:t>S RELIANCE ON A PROJECTED LONG-TERM RISK-FREE RATE IS UNREASONABLE?</w:t>
      </w:r>
    </w:p>
    <w:p w14:paraId="68FC1DDC" w14:textId="586D5AFE" w:rsidR="00685365" w:rsidRPr="002C207B" w:rsidRDefault="00685365" w:rsidP="00685365">
      <w:pPr>
        <w:overflowPunct w:val="0"/>
        <w:autoSpaceDE w:val="0"/>
        <w:autoSpaceDN w:val="0"/>
        <w:adjustRightInd w:val="0"/>
        <w:spacing w:line="480" w:lineRule="auto"/>
        <w:ind w:left="720" w:hanging="720"/>
        <w:jc w:val="both"/>
        <w:textAlignment w:val="baseline"/>
        <w:rPr>
          <w:rFonts w:cs="Arial"/>
          <w:szCs w:val="22"/>
          <w:vertAlign w:val="superscript"/>
        </w:rPr>
      </w:pPr>
      <w:r w:rsidRPr="002C207B">
        <w:rPr>
          <w:rFonts w:cs="Arial"/>
          <w:szCs w:val="22"/>
        </w:rPr>
        <w:t>A</w:t>
      </w:r>
      <w:r w:rsidRPr="002C207B">
        <w:rPr>
          <w:rFonts w:cs="Arial"/>
          <w:szCs w:val="22"/>
        </w:rPr>
        <w:tab/>
        <w:t>Her use of a long-term projected bond yield does not reflect market participants</w:t>
      </w:r>
      <w:r>
        <w:rPr>
          <w:rFonts w:cs="Arial"/>
          <w:szCs w:val="22"/>
        </w:rPr>
        <w:t>’</w:t>
      </w:r>
      <w:r w:rsidRPr="002C207B">
        <w:rPr>
          <w:rFonts w:cs="Arial"/>
          <w:szCs w:val="22"/>
        </w:rPr>
        <w:t xml:space="preserve"> outlooks for </w:t>
      </w:r>
      <w:proofErr w:type="spellStart"/>
      <w:r>
        <w:rPr>
          <w:rFonts w:cs="Arial"/>
          <w:szCs w:val="22"/>
        </w:rPr>
        <w:t>EPE’</w:t>
      </w:r>
      <w:r w:rsidRPr="002C207B">
        <w:rPr>
          <w:rFonts w:cs="Arial"/>
          <w:szCs w:val="22"/>
        </w:rPr>
        <w:t>s</w:t>
      </w:r>
      <w:proofErr w:type="spellEnd"/>
      <w:r w:rsidRPr="002C207B">
        <w:rPr>
          <w:rFonts w:cs="Arial"/>
          <w:szCs w:val="22"/>
        </w:rPr>
        <w:t xml:space="preserve"> cost of capital during the period rates determined in this proceeding will be in effect.  Her projected bond yield of 2.</w:t>
      </w:r>
      <w:r>
        <w:rPr>
          <w:rFonts w:cs="Arial"/>
          <w:szCs w:val="22"/>
        </w:rPr>
        <w:t>88</w:t>
      </w:r>
      <w:r w:rsidRPr="002C207B">
        <w:rPr>
          <w:rFonts w:cs="Arial"/>
          <w:szCs w:val="22"/>
        </w:rPr>
        <w:t xml:space="preserve">% is based on (1) the average near-term projected 30-year Treasury bond yield of </w:t>
      </w:r>
      <w:r>
        <w:rPr>
          <w:rFonts w:cs="Arial"/>
          <w:szCs w:val="22"/>
        </w:rPr>
        <w:t>2.57</w:t>
      </w:r>
      <w:r w:rsidRPr="002C207B">
        <w:rPr>
          <w:rFonts w:cs="Arial"/>
          <w:szCs w:val="22"/>
        </w:rPr>
        <w:t>% based on the six quarter average ending Q</w:t>
      </w:r>
      <w:r>
        <w:rPr>
          <w:rFonts w:cs="Arial"/>
          <w:szCs w:val="22"/>
        </w:rPr>
        <w:t>3</w:t>
      </w:r>
      <w:r w:rsidRPr="002C207B">
        <w:rPr>
          <w:rFonts w:cs="Arial"/>
          <w:szCs w:val="22"/>
        </w:rPr>
        <w:t>, 2022</w:t>
      </w:r>
      <w:r>
        <w:rPr>
          <w:rFonts w:cs="Arial"/>
          <w:szCs w:val="22"/>
          <w:vertAlign w:val="superscript"/>
        </w:rPr>
        <w:footnoteReference w:id="52"/>
      </w:r>
      <w:r w:rsidRPr="002C207B">
        <w:rPr>
          <w:rFonts w:cs="Arial"/>
          <w:szCs w:val="22"/>
        </w:rPr>
        <w:t xml:space="preserve"> and (2) the average (3.</w:t>
      </w:r>
      <w:r>
        <w:rPr>
          <w:rFonts w:cs="Arial"/>
          <w:szCs w:val="22"/>
        </w:rPr>
        <w:t>2</w:t>
      </w:r>
      <w:r w:rsidRPr="002C207B">
        <w:rPr>
          <w:rFonts w:cs="Arial"/>
          <w:szCs w:val="22"/>
        </w:rPr>
        <w:t xml:space="preserve">%) of the projected 30-year treasury of </w:t>
      </w:r>
      <w:r>
        <w:rPr>
          <w:rFonts w:cs="Arial"/>
          <w:szCs w:val="22"/>
        </w:rPr>
        <w:t>2.8</w:t>
      </w:r>
      <w:r w:rsidRPr="002C207B">
        <w:rPr>
          <w:rFonts w:cs="Arial"/>
          <w:szCs w:val="22"/>
        </w:rPr>
        <w:t xml:space="preserve">% for the period 2022-2026 and the projected yield of </w:t>
      </w:r>
      <w:r>
        <w:rPr>
          <w:rFonts w:cs="Arial"/>
          <w:szCs w:val="22"/>
        </w:rPr>
        <w:t>3.6</w:t>
      </w:r>
      <w:r w:rsidRPr="002C207B">
        <w:rPr>
          <w:rFonts w:cs="Arial"/>
          <w:szCs w:val="22"/>
        </w:rPr>
        <w:t>% for the period 2027-2031.</w:t>
      </w:r>
      <w:r>
        <w:rPr>
          <w:rFonts w:cs="Arial"/>
          <w:szCs w:val="22"/>
          <w:vertAlign w:val="superscript"/>
        </w:rPr>
        <w:footnoteReference w:id="53"/>
      </w:r>
      <w:r w:rsidRPr="002C207B">
        <w:rPr>
          <w:rFonts w:cs="Arial"/>
          <w:szCs w:val="22"/>
        </w:rPr>
        <w:t xml:space="preserve">  These long-term projections are highly uncertain, and in any event, do not reflect the cost of capital in the test period or even the period over the next two to three years, </w:t>
      </w:r>
      <w:r>
        <w:rPr>
          <w:rFonts w:cs="Arial"/>
          <w:szCs w:val="22"/>
        </w:rPr>
        <w:t>which is when the</w:t>
      </w:r>
      <w:r w:rsidRPr="002C207B">
        <w:rPr>
          <w:rFonts w:cs="Arial"/>
          <w:szCs w:val="22"/>
        </w:rPr>
        <w:t xml:space="preserve"> rates determined in this proceeding will be in effect.  As such, the market risk premium should be based on observable bond yields in the market today.  Alternatively, the market risk premium should at most reflect bond yield projections through the</w:t>
      </w:r>
      <w:r>
        <w:rPr>
          <w:rFonts w:cs="Arial"/>
          <w:szCs w:val="22"/>
        </w:rPr>
        <w:t xml:space="preserve"> time frame that the rates set in this case will be effective.  While I am not a lawyer, it is my understanding that electric utilities in Texas are generally required to file a rate case every four years unless </w:t>
      </w:r>
      <w:r w:rsidR="008C4BD5">
        <w:rPr>
          <w:rFonts w:cs="Arial"/>
          <w:szCs w:val="22"/>
        </w:rPr>
        <w:t xml:space="preserve">the </w:t>
      </w:r>
      <w:r>
        <w:rPr>
          <w:rFonts w:cs="Arial"/>
          <w:szCs w:val="22"/>
        </w:rPr>
        <w:t>Commission grants a good cause waiver to postpone those filings.</w:t>
      </w:r>
    </w:p>
    <w:p w14:paraId="2B126CBF" w14:textId="77777777" w:rsidR="00685365" w:rsidRPr="002C207B" w:rsidRDefault="00685365" w:rsidP="00685365">
      <w:pPr>
        <w:overflowPunct w:val="0"/>
        <w:autoSpaceDE w:val="0"/>
        <w:autoSpaceDN w:val="0"/>
        <w:adjustRightInd w:val="0"/>
        <w:spacing w:line="480" w:lineRule="auto"/>
        <w:ind w:left="720" w:firstLine="720"/>
        <w:jc w:val="both"/>
        <w:textAlignment w:val="baseline"/>
        <w:rPr>
          <w:rFonts w:cs="Arial"/>
          <w:szCs w:val="22"/>
          <w:vertAlign w:val="superscript"/>
        </w:rPr>
      </w:pPr>
      <w:r w:rsidRPr="002C207B">
        <w:rPr>
          <w:rFonts w:cs="Arial"/>
          <w:szCs w:val="22"/>
        </w:rPr>
        <w:t>Ms. Nelson</w:t>
      </w:r>
      <w:r>
        <w:rPr>
          <w:rFonts w:cs="Arial"/>
          <w:szCs w:val="22"/>
        </w:rPr>
        <w:t>’</w:t>
      </w:r>
      <w:r w:rsidRPr="002C207B">
        <w:rPr>
          <w:rFonts w:cs="Arial"/>
          <w:szCs w:val="22"/>
        </w:rPr>
        <w:t xml:space="preserve">s primary reliance on forecasted Treasury bond yields is unreasonable because she is not considering the highly likely outcome that current </w:t>
      </w:r>
      <w:r w:rsidRPr="002C207B">
        <w:rPr>
          <w:rFonts w:cs="Arial"/>
          <w:szCs w:val="22"/>
        </w:rPr>
        <w:lastRenderedPageBreak/>
        <w:t xml:space="preserve">observable interest rates will prevail during the period in which rates determined in this proceeding will be in effect.  This is important because, while current observable interest rates are actual market data that provides a measure of the current cost of capital, the accuracy of forecasted interest rates is highly problematic. </w:t>
      </w:r>
    </w:p>
    <w:p w14:paraId="7CE29D78" w14:textId="77777777" w:rsidR="00685365" w:rsidRPr="002C207B" w:rsidRDefault="00685365" w:rsidP="00685365">
      <w:pPr>
        <w:keepNext/>
        <w:keepLines/>
        <w:suppressLineNumbers/>
        <w:spacing w:line="480" w:lineRule="auto"/>
        <w:ind w:left="720" w:hanging="720"/>
        <w:jc w:val="both"/>
        <w:rPr>
          <w:rFonts w:cs="Arial"/>
          <w:caps/>
          <w:szCs w:val="22"/>
        </w:rPr>
      </w:pPr>
    </w:p>
    <w:p w14:paraId="1CC00CBE" w14:textId="77777777" w:rsidR="00685365" w:rsidRPr="002C207B" w:rsidRDefault="00685365" w:rsidP="00685365">
      <w:pPr>
        <w:keepNext/>
        <w:spacing w:line="480" w:lineRule="auto"/>
        <w:ind w:left="720" w:hanging="720"/>
        <w:jc w:val="both"/>
        <w:rPr>
          <w:rFonts w:cs="Arial"/>
          <w:b/>
          <w:bCs/>
          <w:caps/>
          <w:szCs w:val="22"/>
        </w:rPr>
      </w:pPr>
      <w:r w:rsidRPr="002C207B">
        <w:rPr>
          <w:rFonts w:cs="Arial"/>
          <w:b/>
          <w:bCs/>
          <w:caps/>
          <w:szCs w:val="22"/>
        </w:rPr>
        <w:t>Q</w:t>
      </w:r>
      <w:r w:rsidRPr="002C207B">
        <w:rPr>
          <w:rFonts w:cs="Arial"/>
          <w:b/>
          <w:bCs/>
          <w:caps/>
          <w:szCs w:val="22"/>
        </w:rPr>
        <w:tab/>
        <w:t>WHY DO YOU BELIEVE THAT THE ACCURACY OF FORECASTED INTEREST RATES IS HIGHLY PROBLEMATIC?</w:t>
      </w:r>
    </w:p>
    <w:p w14:paraId="0EB58A27" w14:textId="77777777" w:rsidR="00685365" w:rsidRPr="00DA6D6D" w:rsidRDefault="00685365" w:rsidP="00685365">
      <w:pPr>
        <w:overflowPunct w:val="0"/>
        <w:autoSpaceDE w:val="0"/>
        <w:autoSpaceDN w:val="0"/>
        <w:adjustRightInd w:val="0"/>
        <w:spacing w:line="480" w:lineRule="auto"/>
        <w:ind w:left="720" w:hanging="720"/>
        <w:jc w:val="both"/>
        <w:textAlignment w:val="baseline"/>
        <w:rPr>
          <w:rFonts w:cs="Arial"/>
          <w:szCs w:val="22"/>
        </w:rPr>
      </w:pPr>
      <w:r w:rsidRPr="002C207B">
        <w:rPr>
          <w:rFonts w:cs="Arial"/>
          <w:szCs w:val="22"/>
        </w:rPr>
        <w:t>A</w:t>
      </w:r>
      <w:r w:rsidRPr="002C207B">
        <w:rPr>
          <w:rFonts w:cs="Arial"/>
          <w:szCs w:val="22"/>
        </w:rPr>
        <w:tab/>
        <w:t>Over the last several years, observable current interest rates have been a more accurate predictor of future interest rates than economists</w:t>
      </w:r>
      <w:r>
        <w:rPr>
          <w:rFonts w:cs="Arial"/>
          <w:szCs w:val="22"/>
        </w:rPr>
        <w:t>’</w:t>
      </w:r>
      <w:r w:rsidRPr="002C207B">
        <w:rPr>
          <w:rFonts w:cs="Arial"/>
          <w:szCs w:val="22"/>
        </w:rPr>
        <w:t xml:space="preserve"> consensus projections.  </w:t>
      </w:r>
      <w:r w:rsidRPr="00E92E03">
        <w:rPr>
          <w:rFonts w:cs="Arial"/>
          <w:szCs w:val="22"/>
        </w:rPr>
        <w:t>Exhibit MPG-21</w:t>
      </w:r>
      <w:r w:rsidRPr="00DA6D6D">
        <w:rPr>
          <w:rFonts w:cs="Arial"/>
          <w:szCs w:val="22"/>
        </w:rPr>
        <w:t xml:space="preserve"> illustrates this point.  Specifically, on </w:t>
      </w:r>
      <w:r w:rsidRPr="00E92E03">
        <w:rPr>
          <w:rFonts w:cs="Arial"/>
          <w:szCs w:val="22"/>
        </w:rPr>
        <w:t>Exhibit MPG-21</w:t>
      </w:r>
      <w:r w:rsidRPr="00DA6D6D">
        <w:rPr>
          <w:rFonts w:cs="Arial"/>
          <w:szCs w:val="22"/>
        </w:rPr>
        <w:t xml:space="preserve">, under Columns 1 and 2, I show the actual market yield for Treasury bonds at the time a projection is made, and the corresponding projection for Treasury bond yields two years in the future, respectively.  </w:t>
      </w:r>
    </w:p>
    <w:p w14:paraId="6581A553" w14:textId="77777777" w:rsidR="00685365" w:rsidRPr="00DA6D6D" w:rsidRDefault="00685365" w:rsidP="00685365">
      <w:pPr>
        <w:overflowPunct w:val="0"/>
        <w:autoSpaceDE w:val="0"/>
        <w:autoSpaceDN w:val="0"/>
        <w:adjustRightInd w:val="0"/>
        <w:spacing w:line="480" w:lineRule="auto"/>
        <w:ind w:left="720" w:firstLine="720"/>
        <w:jc w:val="both"/>
        <w:textAlignment w:val="baseline"/>
        <w:rPr>
          <w:rFonts w:cs="Arial"/>
          <w:szCs w:val="22"/>
        </w:rPr>
      </w:pPr>
      <w:r w:rsidRPr="00DA6D6D">
        <w:rPr>
          <w:rFonts w:cs="Arial"/>
          <w:szCs w:val="22"/>
        </w:rPr>
        <w:t xml:space="preserve">As shown in Columns 1 and 2 of </w:t>
      </w:r>
      <w:r w:rsidRPr="00E92E03">
        <w:rPr>
          <w:rFonts w:cs="Arial"/>
          <w:szCs w:val="22"/>
        </w:rPr>
        <w:t>Exhibit MPG-21</w:t>
      </w:r>
      <w:r w:rsidRPr="00DA6D6D">
        <w:rPr>
          <w:rFonts w:cs="Arial"/>
          <w:szCs w:val="22"/>
        </w:rPr>
        <w:t xml:space="preserve">, over the last several years, Treasury yields were projected to increase relative to the actual Treasury yields at the time of the projection.  In Column 4, I show the actual Treasury yield two years after the forecast.  In Column 5, I show the actual yield change at the time of the projections relative to the projected yield change.  </w:t>
      </w:r>
    </w:p>
    <w:p w14:paraId="39B052F8" w14:textId="77777777" w:rsidR="00685365" w:rsidRPr="002C207B" w:rsidRDefault="00685365" w:rsidP="00685365">
      <w:pPr>
        <w:overflowPunct w:val="0"/>
        <w:autoSpaceDE w:val="0"/>
        <w:autoSpaceDN w:val="0"/>
        <w:adjustRightInd w:val="0"/>
        <w:spacing w:line="480" w:lineRule="auto"/>
        <w:ind w:left="720" w:firstLine="720"/>
        <w:jc w:val="both"/>
        <w:textAlignment w:val="baseline"/>
        <w:rPr>
          <w:rFonts w:cs="Arial"/>
          <w:szCs w:val="22"/>
        </w:rPr>
      </w:pPr>
      <w:r w:rsidRPr="00DA6D6D">
        <w:rPr>
          <w:rFonts w:cs="Arial"/>
          <w:szCs w:val="22"/>
        </w:rPr>
        <w:t xml:space="preserve">As shown in </w:t>
      </w:r>
      <w:r w:rsidRPr="00E92E03">
        <w:rPr>
          <w:rFonts w:cs="Arial"/>
          <w:szCs w:val="22"/>
        </w:rPr>
        <w:t>Exhibit MPG-21</w:t>
      </w:r>
      <w:r w:rsidRPr="00DA6D6D">
        <w:rPr>
          <w:rFonts w:cs="Arial"/>
          <w:szCs w:val="22"/>
        </w:rPr>
        <w:t>, economists have</w:t>
      </w:r>
      <w:r w:rsidRPr="002C207B">
        <w:rPr>
          <w:rFonts w:cs="Arial"/>
          <w:szCs w:val="22"/>
        </w:rPr>
        <w:t xml:space="preserve"> consistently projected that interest rates will increase over the near term.  However, as shown in Column 5, those yield projections turned out to be overstated in almost every case.  Indeed, actual Treasury yields have decreased or remained flat over the last several years rather than increasing as the economists</w:t>
      </w:r>
      <w:r>
        <w:rPr>
          <w:rFonts w:cs="Arial"/>
          <w:szCs w:val="22"/>
        </w:rPr>
        <w:t>’</w:t>
      </w:r>
      <w:r w:rsidRPr="002C207B">
        <w:rPr>
          <w:rFonts w:cs="Arial"/>
          <w:szCs w:val="22"/>
        </w:rPr>
        <w:t xml:space="preserve"> projections indicated.  As such, current observable interest rates are just as likely to accurately predict future interest rates as are economists</w:t>
      </w:r>
      <w:r>
        <w:rPr>
          <w:rFonts w:cs="Arial"/>
          <w:szCs w:val="22"/>
        </w:rPr>
        <w:t>’</w:t>
      </w:r>
      <w:r w:rsidRPr="002C207B">
        <w:rPr>
          <w:rFonts w:cs="Arial"/>
          <w:szCs w:val="22"/>
        </w:rPr>
        <w:t xml:space="preserve"> projections.  </w:t>
      </w:r>
    </w:p>
    <w:p w14:paraId="0E46C152" w14:textId="77777777" w:rsidR="00685365" w:rsidRPr="002C207B" w:rsidRDefault="00685365" w:rsidP="00685365">
      <w:pPr>
        <w:keepNext/>
        <w:spacing w:line="480" w:lineRule="auto"/>
        <w:ind w:left="720" w:hanging="720"/>
        <w:jc w:val="both"/>
        <w:rPr>
          <w:rFonts w:cs="Arial"/>
          <w:b/>
          <w:bCs/>
          <w:caps/>
          <w:szCs w:val="22"/>
        </w:rPr>
      </w:pPr>
      <w:r w:rsidRPr="002C207B">
        <w:rPr>
          <w:rFonts w:cs="Arial"/>
          <w:b/>
          <w:bCs/>
          <w:caps/>
          <w:szCs w:val="22"/>
        </w:rPr>
        <w:lastRenderedPageBreak/>
        <w:t>Q</w:t>
      </w:r>
      <w:r w:rsidRPr="002C207B">
        <w:rPr>
          <w:rFonts w:cs="Arial"/>
          <w:b/>
          <w:bCs/>
          <w:caps/>
          <w:szCs w:val="22"/>
        </w:rPr>
        <w:tab/>
      </w:r>
      <w:r>
        <w:rPr>
          <w:rFonts w:cs="Arial"/>
          <w:b/>
          <w:bCs/>
          <w:caps/>
          <w:szCs w:val="22"/>
        </w:rPr>
        <w:t>DO YOU HAVE ANY FURTHER COMMENTS IN REGARD TO</w:t>
      </w:r>
      <w:r w:rsidRPr="002C207B">
        <w:rPr>
          <w:rFonts w:cs="Arial"/>
          <w:b/>
          <w:bCs/>
          <w:caps/>
          <w:szCs w:val="22"/>
        </w:rPr>
        <w:t xml:space="preserve"> MS. NELSON</w:t>
      </w:r>
      <w:r>
        <w:rPr>
          <w:rFonts w:cs="Arial"/>
          <w:b/>
          <w:bCs/>
          <w:caps/>
          <w:szCs w:val="22"/>
        </w:rPr>
        <w:t>’</w:t>
      </w:r>
      <w:r w:rsidRPr="002C207B">
        <w:rPr>
          <w:rFonts w:cs="Arial"/>
          <w:b/>
          <w:bCs/>
          <w:caps/>
          <w:szCs w:val="22"/>
        </w:rPr>
        <w:t xml:space="preserve">S </w:t>
      </w:r>
      <w:proofErr w:type="spellStart"/>
      <w:r w:rsidRPr="002C207B">
        <w:rPr>
          <w:rFonts w:cs="Arial"/>
          <w:b/>
          <w:bCs/>
          <w:caps/>
          <w:szCs w:val="22"/>
        </w:rPr>
        <w:t>CAPM</w:t>
      </w:r>
      <w:proofErr w:type="spellEnd"/>
      <w:r w:rsidRPr="002C207B">
        <w:rPr>
          <w:rFonts w:cs="Arial"/>
          <w:b/>
          <w:bCs/>
          <w:caps/>
          <w:szCs w:val="22"/>
        </w:rPr>
        <w:t xml:space="preserve"> ANALYS</w:t>
      </w:r>
      <w:r>
        <w:rPr>
          <w:rFonts w:cs="Arial"/>
          <w:b/>
          <w:bCs/>
          <w:caps/>
          <w:szCs w:val="22"/>
        </w:rPr>
        <w:t>es</w:t>
      </w:r>
      <w:r w:rsidRPr="002C207B">
        <w:rPr>
          <w:rFonts w:cs="Arial"/>
          <w:b/>
          <w:bCs/>
          <w:caps/>
          <w:szCs w:val="22"/>
        </w:rPr>
        <w:t>?</w:t>
      </w:r>
    </w:p>
    <w:p w14:paraId="4B731372" w14:textId="0676F0EF" w:rsidR="00685365" w:rsidRDefault="00685365" w:rsidP="00685365">
      <w:pPr>
        <w:keepNext/>
        <w:spacing w:line="480" w:lineRule="auto"/>
        <w:ind w:left="720" w:hanging="720"/>
        <w:jc w:val="both"/>
        <w:rPr>
          <w:rFonts w:cs="Arial"/>
          <w:b/>
          <w:bCs/>
          <w:caps/>
          <w:szCs w:val="22"/>
        </w:rPr>
      </w:pPr>
      <w:r w:rsidRPr="002C207B">
        <w:rPr>
          <w:rFonts w:cs="Arial"/>
          <w:szCs w:val="22"/>
        </w:rPr>
        <w:t>A</w:t>
      </w:r>
      <w:r w:rsidRPr="002C207B">
        <w:rPr>
          <w:rFonts w:cs="Arial"/>
          <w:szCs w:val="22"/>
        </w:rPr>
        <w:tab/>
        <w:t xml:space="preserve">Yes.  </w:t>
      </w:r>
      <w:r>
        <w:rPr>
          <w:rFonts w:cs="Arial"/>
          <w:szCs w:val="22"/>
        </w:rPr>
        <w:t xml:space="preserve">Ms. Nelson’s standard practice is to rely on beta estimates from both </w:t>
      </w:r>
      <w:r w:rsidRPr="009040E6">
        <w:rPr>
          <w:rFonts w:cs="Arial"/>
          <w:i/>
          <w:szCs w:val="22"/>
        </w:rPr>
        <w:t>Value Line</w:t>
      </w:r>
      <w:r>
        <w:rPr>
          <w:rFonts w:cs="Arial"/>
          <w:szCs w:val="22"/>
        </w:rPr>
        <w:t xml:space="preserve"> (0.87) and Bloomberg (1.0).</w:t>
      </w:r>
      <w:r>
        <w:rPr>
          <w:rStyle w:val="FootnoteReference"/>
          <w:rFonts w:cs="Arial"/>
          <w:szCs w:val="22"/>
        </w:rPr>
        <w:footnoteReference w:id="54"/>
      </w:r>
      <w:r>
        <w:rPr>
          <w:rFonts w:cs="Arial"/>
          <w:szCs w:val="22"/>
        </w:rPr>
        <w:t xml:space="preserve">  However, to be conservative she use</w:t>
      </w:r>
      <w:r w:rsidR="008C4BD5">
        <w:rPr>
          <w:rFonts w:cs="Arial"/>
          <w:szCs w:val="22"/>
        </w:rPr>
        <w:t>d</w:t>
      </w:r>
      <w:r>
        <w:rPr>
          <w:rFonts w:cs="Arial"/>
          <w:szCs w:val="22"/>
        </w:rPr>
        <w:t xml:space="preserve"> the Value Line betas in her </w:t>
      </w:r>
      <w:proofErr w:type="spellStart"/>
      <w:r>
        <w:rPr>
          <w:rFonts w:cs="Arial"/>
          <w:szCs w:val="22"/>
        </w:rPr>
        <w:t>CAPM</w:t>
      </w:r>
      <w:proofErr w:type="spellEnd"/>
      <w:r>
        <w:rPr>
          <w:rFonts w:cs="Arial"/>
          <w:szCs w:val="22"/>
        </w:rPr>
        <w:t xml:space="preserve"> studies.  Ms. Nelson, also notes the increase in the beta coefficient since February 2020.</w:t>
      </w:r>
      <w:r>
        <w:rPr>
          <w:rStyle w:val="FootnoteReference"/>
          <w:rFonts w:cs="Arial"/>
          <w:szCs w:val="22"/>
        </w:rPr>
        <w:footnoteReference w:id="55"/>
      </w:r>
      <w:r>
        <w:rPr>
          <w:rFonts w:cs="Arial"/>
          <w:szCs w:val="22"/>
        </w:rPr>
        <w:t xml:space="preserve">  As discussed in regard to my own </w:t>
      </w:r>
      <w:proofErr w:type="spellStart"/>
      <w:r>
        <w:rPr>
          <w:rFonts w:cs="Arial"/>
          <w:szCs w:val="22"/>
        </w:rPr>
        <w:t>CAPM</w:t>
      </w:r>
      <w:proofErr w:type="spellEnd"/>
      <w:r>
        <w:rPr>
          <w:rFonts w:cs="Arial"/>
          <w:szCs w:val="22"/>
        </w:rPr>
        <w:t xml:space="preserve"> study the current beta estimates have increased substantially during the </w:t>
      </w:r>
      <w:r w:rsidR="008C4BD5">
        <w:rPr>
          <w:rFonts w:cs="Arial"/>
          <w:szCs w:val="22"/>
        </w:rPr>
        <w:t>COVID</w:t>
      </w:r>
      <w:r>
        <w:rPr>
          <w:rFonts w:cs="Arial"/>
          <w:szCs w:val="22"/>
        </w:rPr>
        <w:t>-19 pandemic.  However, these elevated beta estimates do not represent an increase in utility risk or cost</w:t>
      </w:r>
      <w:r w:rsidR="008C4BD5">
        <w:rPr>
          <w:rFonts w:cs="Arial"/>
          <w:szCs w:val="22"/>
        </w:rPr>
        <w:t xml:space="preserve"> of equity.  As discussed above, </w:t>
      </w:r>
      <w:r>
        <w:rPr>
          <w:rFonts w:cs="Arial"/>
          <w:szCs w:val="22"/>
        </w:rPr>
        <w:t>utility companies are well positioned to weather economic downturns and are considered defensive stocks.  Their cash flows strength is consistent and supported by strong valuations.</w:t>
      </w:r>
    </w:p>
    <w:p w14:paraId="18BDE025" w14:textId="77777777" w:rsidR="00685365" w:rsidRPr="007114B7" w:rsidRDefault="00685365" w:rsidP="00685365">
      <w:pPr>
        <w:suppressLineNumbers/>
        <w:spacing w:line="480" w:lineRule="auto"/>
        <w:ind w:left="720" w:hanging="720"/>
        <w:jc w:val="both"/>
        <w:rPr>
          <w:color w:val="000000"/>
        </w:rPr>
      </w:pPr>
    </w:p>
    <w:p w14:paraId="474CBC37" w14:textId="77777777" w:rsidR="00685365" w:rsidRPr="002C207B" w:rsidRDefault="00685365" w:rsidP="00685365">
      <w:pPr>
        <w:keepNext/>
        <w:spacing w:line="480" w:lineRule="auto"/>
        <w:ind w:left="720" w:hanging="720"/>
        <w:jc w:val="both"/>
        <w:rPr>
          <w:rFonts w:cs="Arial"/>
          <w:b/>
          <w:bCs/>
          <w:caps/>
          <w:szCs w:val="22"/>
        </w:rPr>
      </w:pPr>
      <w:r w:rsidRPr="002C207B">
        <w:rPr>
          <w:rFonts w:cs="Arial"/>
          <w:b/>
          <w:bCs/>
          <w:caps/>
          <w:szCs w:val="22"/>
        </w:rPr>
        <w:t>Q</w:t>
      </w:r>
      <w:r w:rsidRPr="002C207B">
        <w:rPr>
          <w:rFonts w:cs="Arial"/>
          <w:b/>
          <w:bCs/>
          <w:caps/>
          <w:szCs w:val="22"/>
        </w:rPr>
        <w:tab/>
        <w:t>CAN MS. NELSON</w:t>
      </w:r>
      <w:r>
        <w:rPr>
          <w:rFonts w:cs="Arial"/>
          <w:b/>
          <w:bCs/>
          <w:caps/>
          <w:szCs w:val="22"/>
        </w:rPr>
        <w:t>’</w:t>
      </w:r>
      <w:r w:rsidRPr="002C207B">
        <w:rPr>
          <w:rFonts w:cs="Arial"/>
          <w:b/>
          <w:bCs/>
          <w:caps/>
          <w:szCs w:val="22"/>
        </w:rPr>
        <w:t xml:space="preserve">S </w:t>
      </w:r>
      <w:proofErr w:type="spellStart"/>
      <w:r w:rsidRPr="002C207B">
        <w:rPr>
          <w:rFonts w:cs="Arial"/>
          <w:b/>
          <w:bCs/>
          <w:caps/>
          <w:szCs w:val="22"/>
        </w:rPr>
        <w:t>CAPM</w:t>
      </w:r>
      <w:proofErr w:type="spellEnd"/>
      <w:r w:rsidRPr="002C207B">
        <w:rPr>
          <w:rFonts w:cs="Arial"/>
          <w:b/>
          <w:bCs/>
          <w:caps/>
          <w:szCs w:val="22"/>
        </w:rPr>
        <w:t xml:space="preserve"> ANALYSIS BE REVISED TO REFLECT A MORE REASONABLE MARKET RISK PREMIUM AND RECENT RISK-FREE RATES?</w:t>
      </w:r>
    </w:p>
    <w:p w14:paraId="65DD5C79" w14:textId="28F846A3" w:rsidR="00685365" w:rsidRPr="002C207B" w:rsidRDefault="00685365" w:rsidP="00685365">
      <w:pPr>
        <w:overflowPunct w:val="0"/>
        <w:autoSpaceDE w:val="0"/>
        <w:autoSpaceDN w:val="0"/>
        <w:adjustRightInd w:val="0"/>
        <w:spacing w:line="480" w:lineRule="auto"/>
        <w:ind w:left="720" w:hanging="720"/>
        <w:jc w:val="both"/>
        <w:textAlignment w:val="baseline"/>
        <w:rPr>
          <w:rFonts w:cs="Arial"/>
          <w:szCs w:val="22"/>
        </w:rPr>
      </w:pPr>
      <w:r w:rsidRPr="002C207B">
        <w:rPr>
          <w:rFonts w:cs="Arial"/>
          <w:szCs w:val="22"/>
        </w:rPr>
        <w:t>A</w:t>
      </w:r>
      <w:r w:rsidRPr="002C207B">
        <w:rPr>
          <w:rFonts w:cs="Arial"/>
          <w:szCs w:val="22"/>
        </w:rPr>
        <w:tab/>
        <w:t xml:space="preserve">Yes.  </w:t>
      </w:r>
      <w:r>
        <w:rPr>
          <w:rFonts w:cs="Arial"/>
          <w:szCs w:val="22"/>
        </w:rPr>
        <w:t xml:space="preserve">It is reasonable to revise Ms. Nelson’s </w:t>
      </w:r>
      <w:proofErr w:type="spellStart"/>
      <w:r>
        <w:rPr>
          <w:rFonts w:cs="Arial"/>
          <w:szCs w:val="22"/>
        </w:rPr>
        <w:t>CAPM</w:t>
      </w:r>
      <w:proofErr w:type="spellEnd"/>
      <w:r>
        <w:rPr>
          <w:rFonts w:cs="Arial"/>
          <w:szCs w:val="22"/>
        </w:rPr>
        <w:t xml:space="preserve"> analysis by d</w:t>
      </w:r>
      <w:r w:rsidR="008C4BD5">
        <w:rPr>
          <w:rFonts w:cs="Arial"/>
          <w:szCs w:val="22"/>
        </w:rPr>
        <w:t>isregarding her long</w:t>
      </w:r>
      <w:r w:rsidR="008C4BD5">
        <w:rPr>
          <w:rFonts w:cs="Arial"/>
          <w:szCs w:val="22"/>
        </w:rPr>
        <w:noBreakHyphen/>
      </w:r>
      <w:r w:rsidRPr="002C207B">
        <w:rPr>
          <w:rFonts w:cs="Arial"/>
          <w:szCs w:val="22"/>
        </w:rPr>
        <w:t>term projected risk-free rate of 3.</w:t>
      </w:r>
      <w:r w:rsidR="00C86197">
        <w:rPr>
          <w:rFonts w:cs="Arial"/>
          <w:szCs w:val="22"/>
        </w:rPr>
        <w:t>6</w:t>
      </w:r>
      <w:r>
        <w:rPr>
          <w:rFonts w:cs="Arial"/>
          <w:szCs w:val="22"/>
        </w:rPr>
        <w:t>0</w:t>
      </w:r>
      <w:r w:rsidRPr="002C207B">
        <w:rPr>
          <w:rFonts w:cs="Arial"/>
          <w:szCs w:val="22"/>
        </w:rPr>
        <w:t>%</w:t>
      </w:r>
      <w:r>
        <w:rPr>
          <w:rFonts w:cs="Arial"/>
          <w:szCs w:val="22"/>
        </w:rPr>
        <w:t xml:space="preserve"> as described above</w:t>
      </w:r>
      <w:r w:rsidRPr="002C207B">
        <w:rPr>
          <w:rFonts w:cs="Arial"/>
          <w:szCs w:val="22"/>
        </w:rPr>
        <w:t xml:space="preserve"> and </w:t>
      </w:r>
      <w:r>
        <w:rPr>
          <w:rFonts w:cs="Arial"/>
          <w:szCs w:val="22"/>
        </w:rPr>
        <w:t xml:space="preserve">instead </w:t>
      </w:r>
      <w:r w:rsidRPr="002C207B">
        <w:rPr>
          <w:rFonts w:cs="Arial"/>
          <w:szCs w:val="22"/>
        </w:rPr>
        <w:t xml:space="preserve">using </w:t>
      </w:r>
      <w:r>
        <w:rPr>
          <w:rFonts w:cs="Arial"/>
          <w:szCs w:val="22"/>
        </w:rPr>
        <w:t>her</w:t>
      </w:r>
      <w:r w:rsidRPr="002C207B">
        <w:rPr>
          <w:rFonts w:cs="Arial"/>
          <w:szCs w:val="22"/>
        </w:rPr>
        <w:t xml:space="preserve"> current and near-term projected risk-free rates of </w:t>
      </w:r>
      <w:r>
        <w:rPr>
          <w:rFonts w:cs="Arial"/>
          <w:szCs w:val="22"/>
        </w:rPr>
        <w:t>2.31% and 2.68</w:t>
      </w:r>
      <w:r w:rsidRPr="002C207B">
        <w:rPr>
          <w:rFonts w:cs="Arial"/>
          <w:szCs w:val="22"/>
        </w:rPr>
        <w:t>%</w:t>
      </w:r>
      <w:r w:rsidR="008C4BD5">
        <w:rPr>
          <w:rFonts w:cs="Arial"/>
          <w:szCs w:val="22"/>
        </w:rPr>
        <w:t>, respectively</w:t>
      </w:r>
      <w:r>
        <w:rPr>
          <w:rFonts w:cs="Arial"/>
          <w:szCs w:val="22"/>
        </w:rPr>
        <w:t>.  Applying those risk-free rates,</w:t>
      </w:r>
      <w:r w:rsidRPr="002C207B">
        <w:rPr>
          <w:rFonts w:cs="Arial"/>
          <w:szCs w:val="22"/>
        </w:rPr>
        <w:t xml:space="preserve"> the average </w:t>
      </w:r>
      <w:r w:rsidRPr="002C207B">
        <w:rPr>
          <w:rFonts w:cs="Arial"/>
          <w:i/>
          <w:szCs w:val="22"/>
        </w:rPr>
        <w:t xml:space="preserve">Value Line </w:t>
      </w:r>
      <w:r>
        <w:rPr>
          <w:rFonts w:cs="Arial"/>
          <w:szCs w:val="22"/>
        </w:rPr>
        <w:t xml:space="preserve">beta estimate of 0.87 and my calculated </w:t>
      </w:r>
      <w:r w:rsidRPr="002C207B">
        <w:rPr>
          <w:rFonts w:cs="Arial"/>
          <w:szCs w:val="22"/>
        </w:rPr>
        <w:t xml:space="preserve">market </w:t>
      </w:r>
      <w:r>
        <w:rPr>
          <w:rFonts w:cs="Arial"/>
          <w:szCs w:val="22"/>
        </w:rPr>
        <w:t>return</w:t>
      </w:r>
      <w:r w:rsidRPr="002C207B">
        <w:rPr>
          <w:rFonts w:cs="Arial"/>
          <w:szCs w:val="22"/>
        </w:rPr>
        <w:t xml:space="preserve"> of </w:t>
      </w:r>
      <w:r>
        <w:rPr>
          <w:rFonts w:cs="Arial"/>
          <w:szCs w:val="22"/>
        </w:rPr>
        <w:t>11.50</w:t>
      </w:r>
      <w:r w:rsidRPr="002C207B">
        <w:rPr>
          <w:rFonts w:cs="Arial"/>
          <w:szCs w:val="22"/>
        </w:rPr>
        <w:t>%, Ms. Nelson</w:t>
      </w:r>
      <w:r>
        <w:rPr>
          <w:rFonts w:cs="Arial"/>
          <w:szCs w:val="22"/>
        </w:rPr>
        <w:t>’</w:t>
      </w:r>
      <w:r w:rsidRPr="002C207B">
        <w:rPr>
          <w:rFonts w:cs="Arial"/>
          <w:szCs w:val="22"/>
        </w:rPr>
        <w:t xml:space="preserve">s </w:t>
      </w:r>
      <w:proofErr w:type="spellStart"/>
      <w:r w:rsidRPr="002C207B">
        <w:rPr>
          <w:rFonts w:cs="Arial"/>
          <w:szCs w:val="22"/>
        </w:rPr>
        <w:t>CAPM</w:t>
      </w:r>
      <w:proofErr w:type="spellEnd"/>
      <w:r w:rsidRPr="002C207B">
        <w:rPr>
          <w:rFonts w:cs="Arial"/>
          <w:szCs w:val="22"/>
        </w:rPr>
        <w:t xml:space="preserve"> would </w:t>
      </w:r>
      <w:r>
        <w:rPr>
          <w:rFonts w:cs="Arial"/>
          <w:szCs w:val="22"/>
        </w:rPr>
        <w:t>yield returns on equity no higher than 10.4</w:t>
      </w:r>
      <w:r w:rsidRPr="002C207B">
        <w:rPr>
          <w:rFonts w:cs="Arial"/>
          <w:szCs w:val="22"/>
        </w:rPr>
        <w:t>%.</w:t>
      </w:r>
      <w:r>
        <w:rPr>
          <w:rFonts w:cs="Arial"/>
          <w:szCs w:val="22"/>
          <w:vertAlign w:val="superscript"/>
        </w:rPr>
        <w:footnoteReference w:id="56"/>
      </w:r>
      <w:r w:rsidRPr="002C207B">
        <w:rPr>
          <w:rFonts w:cs="Arial"/>
          <w:szCs w:val="22"/>
        </w:rPr>
        <w:t xml:space="preserve">  </w:t>
      </w:r>
      <w:r>
        <w:rPr>
          <w:rFonts w:cs="Arial"/>
          <w:szCs w:val="22"/>
        </w:rPr>
        <w:t xml:space="preserve">Applying the current and near-term risk-free rates of 2.31% and 2.68%, </w:t>
      </w:r>
      <w:r w:rsidR="008C4BD5">
        <w:rPr>
          <w:rFonts w:cs="Arial"/>
          <w:szCs w:val="22"/>
        </w:rPr>
        <w:t xml:space="preserve">respectively, </w:t>
      </w:r>
      <w:r>
        <w:rPr>
          <w:rFonts w:cs="Arial"/>
          <w:szCs w:val="22"/>
        </w:rPr>
        <w:t xml:space="preserve">my market return of 11.50%, and the average historical beta for regulated utilities of approximately 0.71, will result in a </w:t>
      </w:r>
      <w:proofErr w:type="spellStart"/>
      <w:r>
        <w:rPr>
          <w:rFonts w:cs="Arial"/>
          <w:szCs w:val="22"/>
        </w:rPr>
        <w:t>CAPM</w:t>
      </w:r>
      <w:proofErr w:type="spellEnd"/>
      <w:r>
        <w:rPr>
          <w:rFonts w:cs="Arial"/>
          <w:szCs w:val="22"/>
        </w:rPr>
        <w:t xml:space="preserve"> return no higher than 8.9%.</w:t>
      </w:r>
      <w:r>
        <w:rPr>
          <w:rStyle w:val="FootnoteReference"/>
          <w:rFonts w:cs="Arial"/>
          <w:szCs w:val="22"/>
        </w:rPr>
        <w:footnoteReference w:id="57"/>
      </w:r>
      <w:r>
        <w:rPr>
          <w:rFonts w:cs="Arial"/>
          <w:szCs w:val="22"/>
        </w:rPr>
        <w:t xml:space="preserve">  However, Ms. Nelson’s </w:t>
      </w:r>
      <w:proofErr w:type="spellStart"/>
      <w:r>
        <w:rPr>
          <w:rFonts w:cs="Arial"/>
          <w:szCs w:val="22"/>
        </w:rPr>
        <w:t>CAPM</w:t>
      </w:r>
      <w:proofErr w:type="spellEnd"/>
      <w:r>
        <w:rPr>
          <w:rFonts w:cs="Arial"/>
          <w:szCs w:val="22"/>
        </w:rPr>
        <w:t xml:space="preserve"> return estimate is influenced by an abnormally </w:t>
      </w:r>
      <w:r>
        <w:rPr>
          <w:rFonts w:cs="Arial"/>
          <w:szCs w:val="22"/>
        </w:rPr>
        <w:lastRenderedPageBreak/>
        <w:t xml:space="preserve">high market risk premium and abnormally high utility beta estimates.  Her 10.4% </w:t>
      </w:r>
      <w:proofErr w:type="spellStart"/>
      <w:r>
        <w:rPr>
          <w:rFonts w:cs="Arial"/>
          <w:szCs w:val="22"/>
        </w:rPr>
        <w:t>CAPM</w:t>
      </w:r>
      <w:proofErr w:type="spellEnd"/>
      <w:r>
        <w:rPr>
          <w:rFonts w:cs="Arial"/>
          <w:szCs w:val="22"/>
        </w:rPr>
        <w:t xml:space="preserve"> return is simply unreasonably high, and clearly out of line with other observable benchmarks for the current market cost of capital for </w:t>
      </w:r>
      <w:proofErr w:type="spellStart"/>
      <w:r>
        <w:rPr>
          <w:rFonts w:cs="Arial"/>
          <w:szCs w:val="22"/>
        </w:rPr>
        <w:t>EPE</w:t>
      </w:r>
      <w:proofErr w:type="spellEnd"/>
      <w:r>
        <w:rPr>
          <w:rFonts w:cs="Arial"/>
          <w:szCs w:val="22"/>
        </w:rPr>
        <w:t xml:space="preserve">.  The more normalized </w:t>
      </w:r>
      <w:proofErr w:type="spellStart"/>
      <w:r>
        <w:rPr>
          <w:rFonts w:cs="Arial"/>
          <w:szCs w:val="22"/>
        </w:rPr>
        <w:t>CAPM</w:t>
      </w:r>
      <w:proofErr w:type="spellEnd"/>
      <w:r>
        <w:rPr>
          <w:rFonts w:cs="Arial"/>
          <w:szCs w:val="22"/>
        </w:rPr>
        <w:t xml:space="preserve"> produces a return on equity of 8.9%, which is reasonably aligned with results based on DCF and other forms of risk premium analyses in the current market.</w:t>
      </w:r>
    </w:p>
    <w:p w14:paraId="78318DA2" w14:textId="77777777" w:rsidR="00685365" w:rsidRPr="002C207B" w:rsidRDefault="00685365" w:rsidP="00685365">
      <w:pPr>
        <w:suppressLineNumbers/>
        <w:overflowPunct w:val="0"/>
        <w:autoSpaceDE w:val="0"/>
        <w:autoSpaceDN w:val="0"/>
        <w:adjustRightInd w:val="0"/>
        <w:spacing w:line="480" w:lineRule="auto"/>
        <w:ind w:left="720" w:hanging="720"/>
        <w:jc w:val="both"/>
        <w:textAlignment w:val="baseline"/>
        <w:rPr>
          <w:rFonts w:cs="Arial"/>
          <w:szCs w:val="22"/>
        </w:rPr>
      </w:pPr>
    </w:p>
    <w:p w14:paraId="20136D79" w14:textId="77777777" w:rsidR="00685365" w:rsidRPr="002C207B" w:rsidRDefault="00685365" w:rsidP="00685365">
      <w:pPr>
        <w:pStyle w:val="Heading2"/>
      </w:pPr>
      <w:bookmarkStart w:id="100" w:name="_Toc63936872"/>
      <w:bookmarkStart w:id="101" w:name="_Toc85028741"/>
      <w:proofErr w:type="spellStart"/>
      <w:r>
        <w:t>V.</w:t>
      </w:r>
      <w:r w:rsidRPr="002C207B">
        <w:t>D</w:t>
      </w:r>
      <w:proofErr w:type="spellEnd"/>
      <w:r w:rsidRPr="002C207B">
        <w:t>.  Nelson</w:t>
      </w:r>
      <w:r>
        <w:t>’</w:t>
      </w:r>
      <w:r w:rsidRPr="002C207B">
        <w:t xml:space="preserve">s </w:t>
      </w:r>
      <w:proofErr w:type="spellStart"/>
      <w:r w:rsidRPr="002C207B">
        <w:t>ECAPM</w:t>
      </w:r>
      <w:proofErr w:type="spellEnd"/>
      <w:r w:rsidRPr="002C207B">
        <w:t xml:space="preserve"> Studies</w:t>
      </w:r>
      <w:bookmarkEnd w:id="100"/>
      <w:bookmarkEnd w:id="101"/>
    </w:p>
    <w:p w14:paraId="245B8AE8" w14:textId="77777777" w:rsidR="00685365" w:rsidRPr="002C207B" w:rsidRDefault="00685365" w:rsidP="00685365">
      <w:pPr>
        <w:keepNext/>
        <w:keepLines/>
        <w:spacing w:line="480" w:lineRule="auto"/>
        <w:ind w:left="720" w:hanging="720"/>
        <w:jc w:val="both"/>
        <w:rPr>
          <w:rFonts w:cs="Arial"/>
          <w:b/>
          <w:bCs/>
          <w:caps/>
          <w:szCs w:val="22"/>
        </w:rPr>
      </w:pPr>
      <w:r w:rsidRPr="002C207B">
        <w:rPr>
          <w:rFonts w:cs="Arial"/>
          <w:b/>
          <w:bCs/>
          <w:caps/>
          <w:szCs w:val="22"/>
        </w:rPr>
        <w:t>Q</w:t>
      </w:r>
      <w:r w:rsidRPr="002C207B">
        <w:rPr>
          <w:rFonts w:cs="Arial"/>
          <w:b/>
          <w:bCs/>
          <w:caps/>
          <w:szCs w:val="22"/>
        </w:rPr>
        <w:tab/>
        <w:t>PLEASE DESCRIBE MS. NELSON</w:t>
      </w:r>
      <w:r>
        <w:rPr>
          <w:rFonts w:cs="Arial"/>
          <w:b/>
          <w:bCs/>
          <w:caps/>
          <w:szCs w:val="22"/>
        </w:rPr>
        <w:t>’</w:t>
      </w:r>
      <w:r w:rsidRPr="002C207B">
        <w:rPr>
          <w:rFonts w:cs="Arial"/>
          <w:b/>
          <w:bCs/>
          <w:caps/>
          <w:szCs w:val="22"/>
        </w:rPr>
        <w:t xml:space="preserve">S </w:t>
      </w:r>
      <w:proofErr w:type="spellStart"/>
      <w:r w:rsidRPr="002C207B">
        <w:rPr>
          <w:rFonts w:cs="Arial"/>
          <w:b/>
          <w:bCs/>
          <w:caps/>
          <w:szCs w:val="22"/>
        </w:rPr>
        <w:t>ECAPM</w:t>
      </w:r>
      <w:proofErr w:type="spellEnd"/>
      <w:r w:rsidRPr="002C207B">
        <w:rPr>
          <w:rFonts w:cs="Arial"/>
          <w:b/>
          <w:bCs/>
          <w:caps/>
          <w:szCs w:val="22"/>
        </w:rPr>
        <w:t xml:space="preserve"> ANALYSIS.</w:t>
      </w:r>
    </w:p>
    <w:p w14:paraId="66ECB8DA" w14:textId="77777777" w:rsidR="00685365" w:rsidRPr="002C207B" w:rsidRDefault="00685365" w:rsidP="00685365">
      <w:pPr>
        <w:spacing w:line="480" w:lineRule="auto"/>
        <w:ind w:left="720" w:hanging="720"/>
        <w:jc w:val="both"/>
        <w:rPr>
          <w:rFonts w:cs="Arial"/>
          <w:szCs w:val="22"/>
        </w:rPr>
      </w:pPr>
      <w:r w:rsidRPr="002C207B">
        <w:rPr>
          <w:rFonts w:cs="Arial"/>
          <w:szCs w:val="22"/>
        </w:rPr>
        <w:t>A</w:t>
      </w:r>
      <w:r w:rsidRPr="002C207B">
        <w:rPr>
          <w:rFonts w:cs="Arial"/>
          <w:szCs w:val="22"/>
        </w:rPr>
        <w:tab/>
        <w:t xml:space="preserve">Ms. Nelson relies on empirical tests of the traditional </w:t>
      </w:r>
      <w:proofErr w:type="spellStart"/>
      <w:r w:rsidRPr="002C207B">
        <w:rPr>
          <w:rFonts w:cs="Arial"/>
          <w:szCs w:val="22"/>
        </w:rPr>
        <w:t>CAPM</w:t>
      </w:r>
      <w:proofErr w:type="spellEnd"/>
      <w:r w:rsidRPr="002C207B">
        <w:rPr>
          <w:rFonts w:cs="Arial"/>
          <w:szCs w:val="22"/>
        </w:rPr>
        <w:t xml:space="preserve"> model to modify it in such a way to attempt to</w:t>
      </w:r>
      <w:r w:rsidRPr="002C207B">
        <w:rPr>
          <w:rFonts w:cs="Arial"/>
          <w:i/>
          <w:szCs w:val="22"/>
        </w:rPr>
        <w:t xml:space="preserve"> correct</w:t>
      </w:r>
      <w:r w:rsidRPr="002C207B">
        <w:rPr>
          <w:rFonts w:cs="Arial"/>
          <w:szCs w:val="22"/>
        </w:rPr>
        <w:t xml:space="preserve"> the original </w:t>
      </w:r>
      <w:proofErr w:type="spellStart"/>
      <w:r w:rsidRPr="002C207B">
        <w:rPr>
          <w:rFonts w:cs="Arial"/>
          <w:szCs w:val="22"/>
        </w:rPr>
        <w:t>CAPM</w:t>
      </w:r>
      <w:proofErr w:type="spellEnd"/>
      <w:r w:rsidRPr="002C207B">
        <w:rPr>
          <w:rFonts w:cs="Arial"/>
          <w:szCs w:val="22"/>
        </w:rPr>
        <w:t xml:space="preserve"> for some deficiencies inherent in the original model.  Empirical tests show that the expected return line, or security market line, predicted by the </w:t>
      </w:r>
      <w:proofErr w:type="spellStart"/>
      <w:r w:rsidRPr="002C207B">
        <w:rPr>
          <w:rFonts w:cs="Arial"/>
          <w:szCs w:val="22"/>
        </w:rPr>
        <w:t>CAPM</w:t>
      </w:r>
      <w:proofErr w:type="spellEnd"/>
      <w:r w:rsidRPr="002C207B">
        <w:rPr>
          <w:rFonts w:cs="Arial"/>
          <w:szCs w:val="22"/>
        </w:rPr>
        <w:t xml:space="preserve"> </w:t>
      </w:r>
      <w:r>
        <w:rPr>
          <w:rFonts w:cs="Arial"/>
          <w:szCs w:val="22"/>
        </w:rPr>
        <w:t>is</w:t>
      </w:r>
      <w:r w:rsidRPr="002C207B">
        <w:rPr>
          <w:rFonts w:cs="Arial"/>
          <w:szCs w:val="22"/>
        </w:rPr>
        <w:t xml:space="preserve"> not as steep as the model would have us believe.  In other words, the traditional </w:t>
      </w:r>
      <w:proofErr w:type="spellStart"/>
      <w:r w:rsidRPr="002C207B">
        <w:rPr>
          <w:rFonts w:cs="Arial"/>
          <w:szCs w:val="22"/>
        </w:rPr>
        <w:t>CAPM</w:t>
      </w:r>
      <w:proofErr w:type="spellEnd"/>
      <w:r w:rsidRPr="002C207B">
        <w:rPr>
          <w:rFonts w:cs="Arial"/>
          <w:szCs w:val="22"/>
        </w:rPr>
        <w:t xml:space="preserve"> understates the expected return for securities with betas less than 1, and overstates the expected return for securities with betas greater than 1.  In order to correct for this empirical finding, Ms. Nelson modifies the traditional </w:t>
      </w:r>
      <w:proofErr w:type="spellStart"/>
      <w:r w:rsidRPr="002C207B">
        <w:rPr>
          <w:rFonts w:cs="Arial"/>
          <w:szCs w:val="22"/>
        </w:rPr>
        <w:t>CAPM</w:t>
      </w:r>
      <w:proofErr w:type="spellEnd"/>
      <w:r w:rsidRPr="002C207B">
        <w:rPr>
          <w:rFonts w:cs="Arial"/>
          <w:szCs w:val="22"/>
        </w:rPr>
        <w:t xml:space="preserve"> model as follows: </w:t>
      </w:r>
    </w:p>
    <w:p w14:paraId="227C637B" w14:textId="77777777" w:rsidR="00685365" w:rsidRPr="002C207B" w:rsidRDefault="00685365" w:rsidP="00685365">
      <w:pPr>
        <w:keepNext/>
        <w:keepLines/>
        <w:spacing w:line="480" w:lineRule="auto"/>
        <w:ind w:left="720" w:firstLine="720"/>
        <w:rPr>
          <w:rFonts w:cs="Arial"/>
          <w:szCs w:val="22"/>
        </w:rPr>
      </w:pPr>
      <w:proofErr w:type="spellStart"/>
      <w:r w:rsidRPr="002C207B">
        <w:rPr>
          <w:rFonts w:cs="Arial"/>
          <w:szCs w:val="22"/>
        </w:rPr>
        <w:t>R</w:t>
      </w:r>
      <w:r w:rsidRPr="002C207B">
        <w:rPr>
          <w:rFonts w:cs="Arial"/>
          <w:szCs w:val="22"/>
          <w:vertAlign w:val="subscript"/>
        </w:rPr>
        <w:t>i</w:t>
      </w:r>
      <w:proofErr w:type="spellEnd"/>
      <w:r w:rsidRPr="002C207B">
        <w:rPr>
          <w:rFonts w:cs="Arial"/>
          <w:szCs w:val="22"/>
        </w:rPr>
        <w:t xml:space="preserve"> = </w:t>
      </w:r>
      <w:proofErr w:type="spellStart"/>
      <w:r w:rsidRPr="002C207B">
        <w:rPr>
          <w:rFonts w:cs="Arial"/>
          <w:szCs w:val="22"/>
        </w:rPr>
        <w:t>R</w:t>
      </w:r>
      <w:r w:rsidRPr="002C207B">
        <w:rPr>
          <w:rFonts w:cs="Arial"/>
          <w:szCs w:val="22"/>
          <w:vertAlign w:val="subscript"/>
        </w:rPr>
        <w:t>f</w:t>
      </w:r>
      <w:proofErr w:type="spellEnd"/>
      <w:r w:rsidRPr="002C207B">
        <w:rPr>
          <w:rFonts w:cs="Arial"/>
          <w:szCs w:val="22"/>
        </w:rPr>
        <w:t xml:space="preserve"> + 0.75 x B</w:t>
      </w:r>
      <w:r w:rsidRPr="002C207B">
        <w:rPr>
          <w:rFonts w:cs="Arial"/>
          <w:szCs w:val="22"/>
          <w:vertAlign w:val="subscript"/>
        </w:rPr>
        <w:t>i</w:t>
      </w:r>
      <w:r w:rsidRPr="002C207B">
        <w:rPr>
          <w:rFonts w:cs="Arial"/>
          <w:szCs w:val="22"/>
        </w:rPr>
        <w:t xml:space="preserve"> x (R</w:t>
      </w:r>
      <w:r w:rsidRPr="002C207B">
        <w:rPr>
          <w:rFonts w:cs="Arial"/>
          <w:szCs w:val="22"/>
          <w:vertAlign w:val="subscript"/>
        </w:rPr>
        <w:t>m</w:t>
      </w:r>
      <w:r w:rsidRPr="002C207B">
        <w:rPr>
          <w:rFonts w:cs="Arial"/>
          <w:szCs w:val="22"/>
        </w:rPr>
        <w:t xml:space="preserve"> - </w:t>
      </w:r>
      <w:proofErr w:type="spellStart"/>
      <w:r w:rsidRPr="002C207B">
        <w:rPr>
          <w:rFonts w:cs="Arial"/>
          <w:szCs w:val="22"/>
        </w:rPr>
        <w:t>R</w:t>
      </w:r>
      <w:r w:rsidRPr="002C207B">
        <w:rPr>
          <w:rFonts w:cs="Arial"/>
          <w:szCs w:val="22"/>
          <w:vertAlign w:val="subscript"/>
        </w:rPr>
        <w:t>f</w:t>
      </w:r>
      <w:proofErr w:type="spellEnd"/>
      <w:r w:rsidRPr="002C207B">
        <w:rPr>
          <w:rFonts w:cs="Arial"/>
          <w:szCs w:val="22"/>
        </w:rPr>
        <w:t xml:space="preserve">) +0.25 x </w:t>
      </w:r>
      <w:proofErr w:type="spellStart"/>
      <w:r w:rsidRPr="002C207B">
        <w:rPr>
          <w:rFonts w:cs="Arial"/>
          <w:szCs w:val="22"/>
        </w:rPr>
        <w:t>B</w:t>
      </w:r>
      <w:r w:rsidRPr="002C207B">
        <w:rPr>
          <w:rFonts w:cs="Arial"/>
          <w:szCs w:val="22"/>
          <w:vertAlign w:val="subscript"/>
        </w:rPr>
        <w:t>m</w:t>
      </w:r>
      <w:proofErr w:type="spellEnd"/>
      <w:r w:rsidRPr="002C207B">
        <w:rPr>
          <w:rFonts w:cs="Arial"/>
          <w:szCs w:val="22"/>
          <w:vertAlign w:val="subscript"/>
        </w:rPr>
        <w:t xml:space="preserve"> </w:t>
      </w:r>
      <w:r w:rsidRPr="002C207B">
        <w:rPr>
          <w:rFonts w:cs="Arial"/>
          <w:szCs w:val="22"/>
        </w:rPr>
        <w:t>x (R</w:t>
      </w:r>
      <w:r w:rsidRPr="002C207B">
        <w:rPr>
          <w:rFonts w:cs="Arial"/>
          <w:szCs w:val="22"/>
          <w:vertAlign w:val="subscript"/>
        </w:rPr>
        <w:t>m</w:t>
      </w:r>
      <w:r w:rsidRPr="002C207B">
        <w:rPr>
          <w:rFonts w:cs="Arial"/>
          <w:szCs w:val="22"/>
        </w:rPr>
        <w:t xml:space="preserve"> - </w:t>
      </w:r>
      <w:proofErr w:type="spellStart"/>
      <w:r w:rsidRPr="002C207B">
        <w:rPr>
          <w:rFonts w:cs="Arial"/>
          <w:szCs w:val="22"/>
        </w:rPr>
        <w:t>R</w:t>
      </w:r>
      <w:r w:rsidRPr="002C207B">
        <w:rPr>
          <w:rFonts w:cs="Arial"/>
          <w:szCs w:val="22"/>
          <w:vertAlign w:val="subscript"/>
        </w:rPr>
        <w:t>f</w:t>
      </w:r>
      <w:proofErr w:type="spellEnd"/>
      <w:r w:rsidRPr="002C207B">
        <w:rPr>
          <w:rFonts w:cs="Arial"/>
          <w:szCs w:val="22"/>
        </w:rPr>
        <w:t>) where:</w:t>
      </w:r>
    </w:p>
    <w:p w14:paraId="190128D2" w14:textId="77777777" w:rsidR="00685365" w:rsidRPr="002C207B" w:rsidRDefault="00685365" w:rsidP="00685365">
      <w:pPr>
        <w:keepNext/>
        <w:keepLines/>
        <w:tabs>
          <w:tab w:val="left" w:pos="1440"/>
          <w:tab w:val="left" w:pos="2160"/>
          <w:tab w:val="left" w:pos="2520"/>
        </w:tabs>
        <w:ind w:left="720" w:hanging="720"/>
        <w:jc w:val="both"/>
        <w:rPr>
          <w:rFonts w:cs="Arial"/>
          <w:szCs w:val="22"/>
        </w:rPr>
      </w:pPr>
      <w:r w:rsidRPr="002C207B">
        <w:rPr>
          <w:rFonts w:cs="Arial"/>
          <w:szCs w:val="22"/>
        </w:rPr>
        <w:tab/>
      </w:r>
      <w:r w:rsidRPr="002C207B">
        <w:rPr>
          <w:rFonts w:cs="Arial"/>
          <w:szCs w:val="22"/>
        </w:rPr>
        <w:tab/>
      </w:r>
      <w:r w:rsidRPr="002C207B">
        <w:rPr>
          <w:rFonts w:cs="Arial"/>
          <w:szCs w:val="22"/>
        </w:rPr>
        <w:tab/>
      </w:r>
      <w:proofErr w:type="spellStart"/>
      <w:r w:rsidRPr="002C207B">
        <w:rPr>
          <w:rFonts w:cs="Arial"/>
          <w:szCs w:val="22"/>
        </w:rPr>
        <w:t>R</w:t>
      </w:r>
      <w:r w:rsidRPr="002C207B">
        <w:rPr>
          <w:rFonts w:cs="Arial"/>
          <w:szCs w:val="22"/>
          <w:vertAlign w:val="subscript"/>
        </w:rPr>
        <w:t>i</w:t>
      </w:r>
      <w:proofErr w:type="spellEnd"/>
      <w:r w:rsidRPr="002C207B">
        <w:rPr>
          <w:rFonts w:cs="Arial"/>
          <w:szCs w:val="22"/>
        </w:rPr>
        <w:tab/>
        <w:t xml:space="preserve">= </w:t>
      </w:r>
      <w:r w:rsidRPr="002C207B">
        <w:rPr>
          <w:rFonts w:cs="Arial"/>
          <w:szCs w:val="22"/>
        </w:rPr>
        <w:tab/>
        <w:t xml:space="preserve">Required return for stock </w:t>
      </w:r>
      <w:proofErr w:type="spellStart"/>
      <w:r w:rsidRPr="002C207B">
        <w:rPr>
          <w:rFonts w:cs="Arial"/>
          <w:szCs w:val="22"/>
        </w:rPr>
        <w:t>i</w:t>
      </w:r>
      <w:proofErr w:type="spellEnd"/>
    </w:p>
    <w:p w14:paraId="5C87D089" w14:textId="77777777" w:rsidR="00685365" w:rsidRPr="002C207B" w:rsidRDefault="00685365" w:rsidP="00685365">
      <w:pPr>
        <w:keepNext/>
        <w:keepLines/>
        <w:tabs>
          <w:tab w:val="left" w:pos="1440"/>
          <w:tab w:val="left" w:pos="2160"/>
          <w:tab w:val="left" w:pos="2520"/>
        </w:tabs>
        <w:ind w:left="720" w:hanging="720"/>
        <w:jc w:val="both"/>
        <w:rPr>
          <w:rFonts w:cs="Arial"/>
          <w:szCs w:val="22"/>
        </w:rPr>
      </w:pPr>
      <w:r w:rsidRPr="002C207B">
        <w:rPr>
          <w:rFonts w:cs="Arial"/>
          <w:szCs w:val="22"/>
        </w:rPr>
        <w:tab/>
      </w:r>
      <w:r w:rsidRPr="002C207B">
        <w:rPr>
          <w:rFonts w:cs="Arial"/>
          <w:szCs w:val="22"/>
        </w:rPr>
        <w:tab/>
      </w:r>
      <w:r w:rsidRPr="002C207B">
        <w:rPr>
          <w:rFonts w:cs="Arial"/>
          <w:szCs w:val="22"/>
        </w:rPr>
        <w:tab/>
      </w:r>
      <w:proofErr w:type="spellStart"/>
      <w:r w:rsidRPr="002C207B">
        <w:rPr>
          <w:rFonts w:cs="Arial"/>
          <w:szCs w:val="22"/>
        </w:rPr>
        <w:t>R</w:t>
      </w:r>
      <w:r w:rsidRPr="002C207B">
        <w:rPr>
          <w:rFonts w:cs="Arial"/>
          <w:szCs w:val="22"/>
          <w:vertAlign w:val="subscript"/>
        </w:rPr>
        <w:t>f</w:t>
      </w:r>
      <w:proofErr w:type="spellEnd"/>
      <w:r w:rsidRPr="002C207B">
        <w:rPr>
          <w:rFonts w:cs="Arial"/>
          <w:szCs w:val="22"/>
        </w:rPr>
        <w:tab/>
        <w:t>=</w:t>
      </w:r>
      <w:r w:rsidRPr="002C207B">
        <w:rPr>
          <w:rFonts w:cs="Arial"/>
          <w:szCs w:val="22"/>
        </w:rPr>
        <w:tab/>
        <w:t>Risk-free rate</w:t>
      </w:r>
    </w:p>
    <w:p w14:paraId="61580636" w14:textId="77777777" w:rsidR="00685365" w:rsidRPr="002C207B" w:rsidRDefault="00685365" w:rsidP="00685365">
      <w:pPr>
        <w:keepNext/>
        <w:keepLines/>
        <w:tabs>
          <w:tab w:val="left" w:pos="1440"/>
          <w:tab w:val="left" w:pos="2160"/>
          <w:tab w:val="left" w:pos="2520"/>
        </w:tabs>
        <w:ind w:left="720" w:hanging="720"/>
        <w:jc w:val="both"/>
        <w:rPr>
          <w:rFonts w:cs="Arial"/>
          <w:szCs w:val="22"/>
        </w:rPr>
      </w:pPr>
      <w:r w:rsidRPr="002C207B">
        <w:rPr>
          <w:rFonts w:cs="Arial"/>
          <w:szCs w:val="22"/>
        </w:rPr>
        <w:tab/>
      </w:r>
      <w:r w:rsidRPr="002C207B">
        <w:rPr>
          <w:rFonts w:cs="Arial"/>
          <w:szCs w:val="22"/>
        </w:rPr>
        <w:tab/>
      </w:r>
      <w:r w:rsidRPr="002C207B">
        <w:rPr>
          <w:rFonts w:cs="Arial"/>
          <w:szCs w:val="22"/>
        </w:rPr>
        <w:tab/>
        <w:t>R</w:t>
      </w:r>
      <w:r w:rsidRPr="002C207B">
        <w:rPr>
          <w:rFonts w:cs="Arial"/>
          <w:szCs w:val="22"/>
          <w:vertAlign w:val="subscript"/>
        </w:rPr>
        <w:t>m</w:t>
      </w:r>
      <w:r w:rsidRPr="002C207B">
        <w:rPr>
          <w:rFonts w:cs="Arial"/>
          <w:szCs w:val="22"/>
        </w:rPr>
        <w:tab/>
        <w:t xml:space="preserve">= </w:t>
      </w:r>
      <w:r w:rsidRPr="002C207B">
        <w:rPr>
          <w:rFonts w:cs="Arial"/>
          <w:szCs w:val="22"/>
        </w:rPr>
        <w:tab/>
        <w:t>Expected return for the market portfolio</w:t>
      </w:r>
    </w:p>
    <w:p w14:paraId="08F33BC8" w14:textId="77777777" w:rsidR="00685365" w:rsidRPr="002C207B" w:rsidRDefault="00685365" w:rsidP="00685365">
      <w:pPr>
        <w:keepNext/>
        <w:keepLines/>
        <w:tabs>
          <w:tab w:val="left" w:pos="1440"/>
          <w:tab w:val="left" w:pos="2160"/>
          <w:tab w:val="left" w:pos="2520"/>
        </w:tabs>
        <w:ind w:left="720" w:hanging="720"/>
        <w:jc w:val="both"/>
        <w:rPr>
          <w:rFonts w:cs="Arial"/>
          <w:szCs w:val="22"/>
        </w:rPr>
      </w:pPr>
      <w:r w:rsidRPr="002C207B">
        <w:rPr>
          <w:rFonts w:cs="Arial"/>
          <w:szCs w:val="22"/>
        </w:rPr>
        <w:tab/>
      </w:r>
      <w:r w:rsidRPr="002C207B">
        <w:rPr>
          <w:rFonts w:cs="Arial"/>
          <w:szCs w:val="22"/>
        </w:rPr>
        <w:tab/>
      </w:r>
      <w:r w:rsidRPr="002C207B">
        <w:rPr>
          <w:rFonts w:cs="Arial"/>
          <w:szCs w:val="22"/>
        </w:rPr>
        <w:tab/>
      </w:r>
      <w:proofErr w:type="spellStart"/>
      <w:r w:rsidRPr="002C207B">
        <w:rPr>
          <w:rFonts w:cs="Arial"/>
          <w:szCs w:val="22"/>
        </w:rPr>
        <w:t>B</w:t>
      </w:r>
      <w:r w:rsidRPr="002C207B">
        <w:rPr>
          <w:rFonts w:cs="Arial"/>
          <w:szCs w:val="22"/>
          <w:vertAlign w:val="subscript"/>
        </w:rPr>
        <w:t>m</w:t>
      </w:r>
      <w:proofErr w:type="spellEnd"/>
      <w:r w:rsidRPr="002C207B">
        <w:rPr>
          <w:rFonts w:cs="Arial"/>
          <w:szCs w:val="22"/>
          <w:vertAlign w:val="subscript"/>
        </w:rPr>
        <w:tab/>
      </w:r>
      <w:r w:rsidRPr="002C207B">
        <w:rPr>
          <w:rFonts w:cs="Arial"/>
          <w:szCs w:val="22"/>
        </w:rPr>
        <w:t xml:space="preserve">= </w:t>
      </w:r>
      <w:r w:rsidRPr="002C207B">
        <w:rPr>
          <w:rFonts w:cs="Arial"/>
          <w:szCs w:val="22"/>
        </w:rPr>
        <w:tab/>
        <w:t>Beta of the market</w:t>
      </w:r>
    </w:p>
    <w:p w14:paraId="76492C4A" w14:textId="77777777" w:rsidR="00685365" w:rsidRPr="002C207B" w:rsidRDefault="00685365" w:rsidP="00685365">
      <w:pPr>
        <w:suppressLineNumbers/>
        <w:spacing w:line="480" w:lineRule="auto"/>
        <w:ind w:left="1170" w:hanging="720"/>
        <w:jc w:val="both"/>
        <w:rPr>
          <w:rFonts w:cs="Arial"/>
          <w:szCs w:val="22"/>
        </w:rPr>
      </w:pPr>
      <w:r w:rsidRPr="002C207B">
        <w:rPr>
          <w:rFonts w:cs="Arial"/>
          <w:szCs w:val="22"/>
        </w:rPr>
        <w:tab/>
      </w:r>
      <w:r w:rsidRPr="002C207B">
        <w:rPr>
          <w:rFonts w:cs="Arial"/>
          <w:szCs w:val="22"/>
        </w:rPr>
        <w:tab/>
      </w:r>
      <w:r w:rsidRPr="002C207B">
        <w:rPr>
          <w:rFonts w:cs="Arial"/>
          <w:szCs w:val="22"/>
        </w:rPr>
        <w:tab/>
        <w:t>B</w:t>
      </w:r>
      <w:r w:rsidRPr="002C207B">
        <w:rPr>
          <w:rFonts w:cs="Arial"/>
          <w:szCs w:val="22"/>
          <w:vertAlign w:val="subscript"/>
        </w:rPr>
        <w:t xml:space="preserve">i </w:t>
      </w:r>
      <w:r w:rsidRPr="002C207B">
        <w:rPr>
          <w:rFonts w:cs="Arial"/>
          <w:szCs w:val="22"/>
        </w:rPr>
        <w:t xml:space="preserve">  = </w:t>
      </w:r>
      <w:r w:rsidRPr="002C207B">
        <w:rPr>
          <w:rFonts w:cs="Arial"/>
          <w:szCs w:val="22"/>
        </w:rPr>
        <w:tab/>
        <w:t>Beta - Measure of the risk for stock</w:t>
      </w:r>
    </w:p>
    <w:p w14:paraId="7034FB68" w14:textId="77777777" w:rsidR="00685365" w:rsidRPr="002C207B" w:rsidRDefault="00685365" w:rsidP="00685365">
      <w:pPr>
        <w:keepNext/>
        <w:keepLines/>
        <w:suppressLineNumbers/>
        <w:spacing w:line="480" w:lineRule="auto"/>
        <w:ind w:left="720" w:hanging="720"/>
        <w:jc w:val="both"/>
        <w:rPr>
          <w:rFonts w:cs="Arial"/>
          <w:caps/>
          <w:szCs w:val="22"/>
        </w:rPr>
      </w:pPr>
    </w:p>
    <w:p w14:paraId="3B9DAD9B" w14:textId="77777777" w:rsidR="00685365" w:rsidRPr="002C207B" w:rsidRDefault="00685365" w:rsidP="00685365">
      <w:pPr>
        <w:keepNext/>
        <w:keepLines/>
        <w:spacing w:line="480" w:lineRule="auto"/>
        <w:ind w:left="720" w:hanging="720"/>
        <w:jc w:val="both"/>
        <w:rPr>
          <w:rFonts w:cs="Arial"/>
          <w:b/>
          <w:bCs/>
          <w:caps/>
          <w:szCs w:val="22"/>
        </w:rPr>
      </w:pPr>
      <w:r w:rsidRPr="002C207B">
        <w:rPr>
          <w:rFonts w:cs="Arial"/>
          <w:b/>
          <w:bCs/>
          <w:caps/>
          <w:szCs w:val="22"/>
        </w:rPr>
        <w:t>Q</w:t>
      </w:r>
      <w:r w:rsidRPr="002C207B">
        <w:rPr>
          <w:rFonts w:cs="Arial"/>
          <w:b/>
          <w:bCs/>
          <w:caps/>
          <w:szCs w:val="22"/>
        </w:rPr>
        <w:tab/>
        <w:t>WHAT ISSUES DO YOU TAKE WITH MS. NELSON</w:t>
      </w:r>
      <w:r>
        <w:rPr>
          <w:rFonts w:cs="Arial"/>
          <w:b/>
          <w:bCs/>
          <w:caps/>
          <w:szCs w:val="22"/>
        </w:rPr>
        <w:t>’</w:t>
      </w:r>
      <w:r w:rsidRPr="002C207B">
        <w:rPr>
          <w:rFonts w:cs="Arial"/>
          <w:b/>
          <w:bCs/>
          <w:caps/>
          <w:szCs w:val="22"/>
        </w:rPr>
        <w:t xml:space="preserve">S </w:t>
      </w:r>
      <w:proofErr w:type="spellStart"/>
      <w:r w:rsidRPr="002C207B">
        <w:rPr>
          <w:rFonts w:cs="Arial"/>
          <w:b/>
          <w:bCs/>
          <w:caps/>
          <w:szCs w:val="22"/>
        </w:rPr>
        <w:t>ECAPM</w:t>
      </w:r>
      <w:proofErr w:type="spellEnd"/>
      <w:r w:rsidRPr="002C207B">
        <w:rPr>
          <w:rFonts w:cs="Arial"/>
          <w:b/>
          <w:bCs/>
          <w:caps/>
          <w:szCs w:val="22"/>
        </w:rPr>
        <w:t xml:space="preserve"> ANALYSIS?</w:t>
      </w:r>
    </w:p>
    <w:p w14:paraId="2B19F1A5" w14:textId="77777777" w:rsidR="00685365" w:rsidRPr="002C207B" w:rsidRDefault="00685365" w:rsidP="00685365">
      <w:pPr>
        <w:spacing w:line="480" w:lineRule="auto"/>
        <w:ind w:left="720" w:hanging="720"/>
        <w:jc w:val="both"/>
        <w:rPr>
          <w:rFonts w:cs="Arial"/>
          <w:szCs w:val="22"/>
        </w:rPr>
      </w:pPr>
      <w:r w:rsidRPr="002C207B">
        <w:rPr>
          <w:rFonts w:cs="Arial"/>
          <w:szCs w:val="22"/>
        </w:rPr>
        <w:t>A</w:t>
      </w:r>
      <w:r w:rsidRPr="002C207B">
        <w:rPr>
          <w:rFonts w:cs="Arial"/>
          <w:szCs w:val="22"/>
        </w:rPr>
        <w:tab/>
        <w:t>The biggest issue I have with Ms. Nelson</w:t>
      </w:r>
      <w:r>
        <w:rPr>
          <w:rFonts w:cs="Arial"/>
          <w:szCs w:val="22"/>
        </w:rPr>
        <w:t>’</w:t>
      </w:r>
      <w:r w:rsidRPr="002C207B">
        <w:rPr>
          <w:rFonts w:cs="Arial"/>
          <w:szCs w:val="22"/>
        </w:rPr>
        <w:t xml:space="preserve">s </w:t>
      </w:r>
      <w:proofErr w:type="spellStart"/>
      <w:r w:rsidRPr="002C207B">
        <w:rPr>
          <w:rFonts w:cs="Arial"/>
          <w:szCs w:val="22"/>
        </w:rPr>
        <w:t>ECAPM</w:t>
      </w:r>
      <w:proofErr w:type="spellEnd"/>
      <w:r w:rsidRPr="002C207B">
        <w:rPr>
          <w:rFonts w:cs="Arial"/>
          <w:szCs w:val="22"/>
        </w:rPr>
        <w:t xml:space="preserve"> analysis is her use of an adjusted beta as published by </w:t>
      </w:r>
      <w:r w:rsidRPr="002C207B">
        <w:rPr>
          <w:rFonts w:cs="Arial"/>
          <w:i/>
          <w:szCs w:val="22"/>
        </w:rPr>
        <w:t>Value Line</w:t>
      </w:r>
      <w:r w:rsidRPr="002C207B">
        <w:rPr>
          <w:rFonts w:cs="Arial"/>
          <w:szCs w:val="22"/>
        </w:rPr>
        <w:t>.  The impact of Ms. Nelson</w:t>
      </w:r>
      <w:r>
        <w:rPr>
          <w:rFonts w:cs="Arial"/>
          <w:szCs w:val="22"/>
        </w:rPr>
        <w:t>’</w:t>
      </w:r>
      <w:r w:rsidRPr="002C207B">
        <w:rPr>
          <w:rFonts w:cs="Arial"/>
          <w:szCs w:val="22"/>
        </w:rPr>
        <w:t xml:space="preserve">s </w:t>
      </w:r>
      <w:proofErr w:type="spellStart"/>
      <w:r w:rsidRPr="002C207B">
        <w:rPr>
          <w:rFonts w:cs="Arial"/>
          <w:szCs w:val="22"/>
        </w:rPr>
        <w:t>ECAPM</w:t>
      </w:r>
      <w:proofErr w:type="spellEnd"/>
      <w:r w:rsidRPr="002C207B">
        <w:rPr>
          <w:rFonts w:cs="Arial"/>
          <w:szCs w:val="22"/>
        </w:rPr>
        <w:t xml:space="preserve"> adjustments </w:t>
      </w:r>
      <w:r w:rsidRPr="002C207B">
        <w:rPr>
          <w:rFonts w:cs="Arial"/>
          <w:szCs w:val="22"/>
        </w:rPr>
        <w:lastRenderedPageBreak/>
        <w:t>increases her adjusted beta estimate of 0.</w:t>
      </w:r>
      <w:r>
        <w:rPr>
          <w:rFonts w:cs="Arial"/>
          <w:szCs w:val="22"/>
        </w:rPr>
        <w:t>87 to 0.90</w:t>
      </w:r>
      <w:r w:rsidRPr="002C207B">
        <w:rPr>
          <w:rFonts w:cs="Arial"/>
          <w:szCs w:val="22"/>
        </w:rPr>
        <w:t>.</w:t>
      </w:r>
      <w:r>
        <w:rPr>
          <w:rFonts w:cs="Arial"/>
          <w:szCs w:val="22"/>
          <w:vertAlign w:val="superscript"/>
        </w:rPr>
        <w:footnoteReference w:id="58"/>
      </w:r>
      <w:r w:rsidRPr="002C207B">
        <w:rPr>
          <w:rFonts w:cs="Arial"/>
          <w:szCs w:val="22"/>
        </w:rPr>
        <w:t xml:space="preserve">  The weighting adjustments applied in the </w:t>
      </w:r>
      <w:proofErr w:type="spellStart"/>
      <w:r w:rsidRPr="002C207B">
        <w:rPr>
          <w:rFonts w:cs="Arial"/>
          <w:szCs w:val="22"/>
        </w:rPr>
        <w:t>ECAPM</w:t>
      </w:r>
      <w:proofErr w:type="spellEnd"/>
      <w:r w:rsidRPr="002C207B">
        <w:rPr>
          <w:rFonts w:cs="Arial"/>
          <w:szCs w:val="22"/>
        </w:rPr>
        <w:t xml:space="preserve"> are mathematically the same as adjusting beta since the inputs are all multiplicative as shown in the formula above. </w:t>
      </w:r>
    </w:p>
    <w:p w14:paraId="1D5814B8" w14:textId="5C01A5C1" w:rsidR="00685365" w:rsidRPr="002C207B" w:rsidRDefault="00685365" w:rsidP="00685365">
      <w:pPr>
        <w:spacing w:line="480" w:lineRule="auto"/>
        <w:ind w:left="720" w:hanging="720"/>
        <w:jc w:val="both"/>
        <w:rPr>
          <w:rFonts w:cs="Arial"/>
          <w:szCs w:val="22"/>
        </w:rPr>
      </w:pPr>
      <w:r w:rsidRPr="002C207B">
        <w:rPr>
          <w:rFonts w:cs="Arial"/>
          <w:szCs w:val="22"/>
        </w:rPr>
        <w:tab/>
      </w:r>
      <w:r w:rsidRPr="002C207B">
        <w:rPr>
          <w:rFonts w:cs="Arial"/>
          <w:szCs w:val="22"/>
        </w:rPr>
        <w:tab/>
        <w:t>Further, Ms. Nelson</w:t>
      </w:r>
      <w:r>
        <w:rPr>
          <w:rFonts w:cs="Arial"/>
          <w:szCs w:val="22"/>
        </w:rPr>
        <w:t>’</w:t>
      </w:r>
      <w:r w:rsidRPr="002C207B">
        <w:rPr>
          <w:rFonts w:cs="Arial"/>
          <w:szCs w:val="22"/>
        </w:rPr>
        <w:t xml:space="preserve">s reliance on an adjusted </w:t>
      </w:r>
      <w:r w:rsidRPr="002C207B">
        <w:rPr>
          <w:rFonts w:cs="Arial"/>
          <w:i/>
          <w:szCs w:val="22"/>
        </w:rPr>
        <w:t xml:space="preserve">Value Line </w:t>
      </w:r>
      <w:r w:rsidRPr="002C207B">
        <w:rPr>
          <w:rFonts w:cs="Arial"/>
          <w:szCs w:val="22"/>
        </w:rPr>
        <w:t xml:space="preserve">beta in her </w:t>
      </w:r>
      <w:proofErr w:type="spellStart"/>
      <w:r w:rsidRPr="002C207B">
        <w:rPr>
          <w:rFonts w:cs="Arial"/>
          <w:szCs w:val="22"/>
        </w:rPr>
        <w:t>ECAPM</w:t>
      </w:r>
      <w:proofErr w:type="spellEnd"/>
      <w:r w:rsidRPr="002C207B">
        <w:rPr>
          <w:rFonts w:cs="Arial"/>
          <w:szCs w:val="22"/>
        </w:rPr>
        <w:t xml:space="preserve"> </w:t>
      </w:r>
      <w:r w:rsidRPr="002C207B">
        <w:rPr>
          <w:rFonts w:cs="Arial"/>
          <w:spacing w:val="4"/>
          <w:szCs w:val="22"/>
        </w:rPr>
        <w:t>study is inconsistent with the academic research that I am aware of supporting the</w:t>
      </w:r>
      <w:r w:rsidRPr="002C207B">
        <w:rPr>
          <w:rFonts w:cs="Arial"/>
          <w:szCs w:val="22"/>
        </w:rPr>
        <w:t xml:space="preserve"> development of the </w:t>
      </w:r>
      <w:proofErr w:type="spellStart"/>
      <w:r w:rsidRPr="002C207B">
        <w:rPr>
          <w:rFonts w:cs="Arial"/>
          <w:szCs w:val="22"/>
        </w:rPr>
        <w:t>ECAPM</w:t>
      </w:r>
      <w:proofErr w:type="spellEnd"/>
      <w:r w:rsidRPr="002C207B">
        <w:rPr>
          <w:rFonts w:cs="Arial"/>
          <w:szCs w:val="22"/>
        </w:rPr>
        <w:t>.</w:t>
      </w:r>
      <w:r>
        <w:rPr>
          <w:rFonts w:cs="Arial"/>
          <w:szCs w:val="22"/>
          <w:vertAlign w:val="superscript"/>
        </w:rPr>
        <w:footnoteReference w:id="59"/>
      </w:r>
      <w:r w:rsidRPr="002C207B">
        <w:rPr>
          <w:rFonts w:cs="Arial"/>
          <w:szCs w:val="22"/>
        </w:rPr>
        <w:t xml:space="preserve">  The end result of using adjusted betas in the </w:t>
      </w:r>
      <w:proofErr w:type="spellStart"/>
      <w:r w:rsidRPr="002C207B">
        <w:rPr>
          <w:rFonts w:cs="Arial"/>
          <w:szCs w:val="22"/>
        </w:rPr>
        <w:t>ECAPM</w:t>
      </w:r>
      <w:proofErr w:type="spellEnd"/>
      <w:r w:rsidRPr="002C207B">
        <w:rPr>
          <w:rFonts w:cs="Arial"/>
          <w:szCs w:val="22"/>
        </w:rPr>
        <w:t xml:space="preserve"> is essentially an expected return line that has been flattened by two adjustments.  In other words, the vertical intercept has been raised twice and the security market line has been flattened twice: once through the adjustments </w:t>
      </w:r>
      <w:r w:rsidRPr="002C207B">
        <w:rPr>
          <w:rFonts w:cs="Arial"/>
          <w:i/>
          <w:szCs w:val="22"/>
        </w:rPr>
        <w:t>Value Line</w:t>
      </w:r>
      <w:r w:rsidRPr="002C207B">
        <w:rPr>
          <w:rFonts w:cs="Arial"/>
          <w:szCs w:val="22"/>
        </w:rPr>
        <w:t xml:space="preserve"> made to the raw beta, and again by weighting the risk-adjusted market risk premium as Ms. Nelson has done.  In addition to the many adjustments employed by Ms. Nelson, she further increases the intercept and flattens the security mark</w:t>
      </w:r>
      <w:r w:rsidR="008C4BD5">
        <w:rPr>
          <w:rFonts w:cs="Arial"/>
          <w:szCs w:val="22"/>
        </w:rPr>
        <w:t>et line by using projected long</w:t>
      </w:r>
      <w:r w:rsidR="008C4BD5">
        <w:rPr>
          <w:rFonts w:cs="Arial"/>
          <w:szCs w:val="22"/>
        </w:rPr>
        <w:noBreakHyphen/>
      </w:r>
      <w:r w:rsidRPr="002C207B">
        <w:rPr>
          <w:rFonts w:cs="Arial"/>
          <w:szCs w:val="22"/>
        </w:rPr>
        <w:t>term Treasury yields that are at odds with current market expectations and inconsistent with the Federal Reserve</w:t>
      </w:r>
      <w:r>
        <w:rPr>
          <w:rFonts w:cs="Arial"/>
          <w:szCs w:val="22"/>
        </w:rPr>
        <w:t>’</w:t>
      </w:r>
      <w:r w:rsidRPr="002C207B">
        <w:rPr>
          <w:rFonts w:cs="Arial"/>
          <w:szCs w:val="22"/>
        </w:rPr>
        <w:t>s projections and monetary policy.</w:t>
      </w:r>
    </w:p>
    <w:p w14:paraId="571F9F26" w14:textId="26C96D74" w:rsidR="00685365" w:rsidRPr="002C207B" w:rsidRDefault="00685365" w:rsidP="00685365">
      <w:pPr>
        <w:spacing w:line="480" w:lineRule="auto"/>
        <w:ind w:left="720" w:firstLine="720"/>
        <w:jc w:val="both"/>
        <w:rPr>
          <w:rFonts w:cs="Arial"/>
          <w:szCs w:val="22"/>
        </w:rPr>
      </w:pPr>
      <w:r w:rsidRPr="002C207B">
        <w:rPr>
          <w:rFonts w:cs="Arial"/>
          <w:szCs w:val="22"/>
        </w:rPr>
        <w:t xml:space="preserve">Ms. Nelson goes over the theory of the </w:t>
      </w:r>
      <w:proofErr w:type="spellStart"/>
      <w:r w:rsidRPr="002C207B">
        <w:rPr>
          <w:rFonts w:cs="Arial"/>
          <w:szCs w:val="22"/>
        </w:rPr>
        <w:t>ECAPM</w:t>
      </w:r>
      <w:proofErr w:type="spellEnd"/>
      <w:r w:rsidRPr="002C207B">
        <w:rPr>
          <w:rFonts w:cs="Arial"/>
          <w:szCs w:val="22"/>
        </w:rPr>
        <w:t xml:space="preserve"> at pages </w:t>
      </w:r>
      <w:r>
        <w:rPr>
          <w:rFonts w:cs="Arial"/>
          <w:szCs w:val="22"/>
        </w:rPr>
        <w:t>45</w:t>
      </w:r>
      <w:r w:rsidRPr="002C207B">
        <w:rPr>
          <w:rFonts w:cs="Arial"/>
          <w:szCs w:val="22"/>
        </w:rPr>
        <w:t>-</w:t>
      </w:r>
      <w:r>
        <w:rPr>
          <w:rFonts w:cs="Arial"/>
          <w:szCs w:val="22"/>
        </w:rPr>
        <w:t>47</w:t>
      </w:r>
      <w:r w:rsidRPr="002C207B">
        <w:rPr>
          <w:rFonts w:cs="Arial"/>
          <w:szCs w:val="22"/>
        </w:rPr>
        <w:t xml:space="preserve"> of her Direct Testimony.  The </w:t>
      </w:r>
      <w:proofErr w:type="spellStart"/>
      <w:r w:rsidRPr="002C207B">
        <w:rPr>
          <w:rFonts w:cs="Arial"/>
          <w:szCs w:val="22"/>
        </w:rPr>
        <w:t>ECAPM</w:t>
      </w:r>
      <w:proofErr w:type="spellEnd"/>
      <w:r w:rsidRPr="002C207B">
        <w:rPr>
          <w:rFonts w:cs="Arial"/>
          <w:szCs w:val="22"/>
        </w:rPr>
        <w:t xml:space="preserve"> with adjusted betas has the effect of increasing </w:t>
      </w:r>
      <w:proofErr w:type="spellStart"/>
      <w:r w:rsidRPr="002C207B">
        <w:rPr>
          <w:rFonts w:cs="Arial"/>
          <w:szCs w:val="22"/>
        </w:rPr>
        <w:t>CAPM</w:t>
      </w:r>
      <w:proofErr w:type="spellEnd"/>
      <w:r w:rsidRPr="002C207B">
        <w:rPr>
          <w:rFonts w:cs="Arial"/>
          <w:szCs w:val="22"/>
        </w:rPr>
        <w:t xml:space="preserve"> return estimates for companies with betas less than 1, and decreasing the </w:t>
      </w:r>
      <w:proofErr w:type="spellStart"/>
      <w:r w:rsidRPr="002C207B">
        <w:rPr>
          <w:rFonts w:cs="Arial"/>
          <w:szCs w:val="22"/>
        </w:rPr>
        <w:t>CAPM</w:t>
      </w:r>
      <w:proofErr w:type="spellEnd"/>
      <w:r w:rsidRPr="002C207B">
        <w:rPr>
          <w:rFonts w:cs="Arial"/>
          <w:szCs w:val="22"/>
        </w:rPr>
        <w:t xml:space="preserve"> return estimates for companies with betas greater than 1.  I have modeled the expected return line resulting from the application of the various forms of </w:t>
      </w:r>
      <w:r w:rsidR="009B1325">
        <w:rPr>
          <w:rFonts w:cs="Arial"/>
          <w:szCs w:val="22"/>
        </w:rPr>
        <w:t xml:space="preserve">the </w:t>
      </w:r>
      <w:proofErr w:type="spellStart"/>
      <w:r w:rsidR="009B1325">
        <w:rPr>
          <w:rFonts w:cs="Arial"/>
          <w:szCs w:val="22"/>
        </w:rPr>
        <w:t>CAPM</w:t>
      </w:r>
      <w:proofErr w:type="spellEnd"/>
      <w:r w:rsidR="009B1325">
        <w:rPr>
          <w:rFonts w:cs="Arial"/>
          <w:szCs w:val="22"/>
        </w:rPr>
        <w:t>/</w:t>
      </w:r>
      <w:proofErr w:type="spellStart"/>
      <w:r w:rsidR="009B1325">
        <w:rPr>
          <w:rFonts w:cs="Arial"/>
          <w:szCs w:val="22"/>
        </w:rPr>
        <w:t>ECAPM</w:t>
      </w:r>
      <w:proofErr w:type="spellEnd"/>
      <w:r w:rsidR="009B1325">
        <w:rPr>
          <w:rFonts w:cs="Arial"/>
          <w:szCs w:val="22"/>
        </w:rPr>
        <w:t xml:space="preserve"> below in Figure 6</w:t>
      </w:r>
      <w:r w:rsidRPr="002C207B">
        <w:rPr>
          <w:rFonts w:cs="Arial"/>
          <w:szCs w:val="22"/>
        </w:rPr>
        <w:t>.</w:t>
      </w:r>
    </w:p>
    <w:p w14:paraId="73295981" w14:textId="487F80A0" w:rsidR="00685365" w:rsidRPr="002C207B" w:rsidRDefault="009B1325" w:rsidP="00685365">
      <w:pPr>
        <w:keepNext/>
        <w:keepLines/>
        <w:suppressLineNumbers/>
        <w:ind w:left="720"/>
        <w:jc w:val="center"/>
        <w:rPr>
          <w:rFonts w:cs="Arial"/>
          <w:b/>
          <w:szCs w:val="22"/>
        </w:rPr>
      </w:pPr>
      <w:r>
        <w:rPr>
          <w:rFonts w:cs="Arial"/>
          <w:b/>
          <w:szCs w:val="22"/>
        </w:rPr>
        <w:lastRenderedPageBreak/>
        <w:t>FIGURE 6</w:t>
      </w:r>
    </w:p>
    <w:p w14:paraId="145BAEDD" w14:textId="77777777" w:rsidR="00685365" w:rsidRPr="002C207B" w:rsidRDefault="00685365" w:rsidP="00685365">
      <w:pPr>
        <w:keepNext/>
        <w:keepLines/>
        <w:suppressLineNumbers/>
        <w:ind w:left="720" w:firstLine="720"/>
        <w:jc w:val="center"/>
        <w:rPr>
          <w:rFonts w:cs="Arial"/>
          <w:b/>
          <w:szCs w:val="22"/>
        </w:rPr>
      </w:pPr>
    </w:p>
    <w:p w14:paraId="1C5017A6" w14:textId="77777777" w:rsidR="00685365" w:rsidRPr="002C207B" w:rsidRDefault="00685365" w:rsidP="00685365">
      <w:pPr>
        <w:suppressLineNumbers/>
        <w:spacing w:line="480" w:lineRule="auto"/>
        <w:ind w:left="360"/>
        <w:jc w:val="center"/>
        <w:rPr>
          <w:rFonts w:cs="Arial"/>
          <w:szCs w:val="22"/>
        </w:rPr>
      </w:pPr>
      <w:r w:rsidRPr="002C207B">
        <w:rPr>
          <w:rFonts w:cs="Arial"/>
          <w:noProof/>
          <w:szCs w:val="22"/>
        </w:rPr>
        <w:drawing>
          <wp:inline distT="0" distB="0" distL="0" distR="0" wp14:anchorId="581CD871" wp14:editId="65A842FC">
            <wp:extent cx="5762625" cy="38100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26869" name="Picture 12"/>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5762625" cy="3810000"/>
                    </a:xfrm>
                    <a:prstGeom prst="rect">
                      <a:avLst/>
                    </a:prstGeom>
                    <a:noFill/>
                    <a:ln>
                      <a:noFill/>
                    </a:ln>
                  </pic:spPr>
                </pic:pic>
              </a:graphicData>
            </a:graphic>
          </wp:inline>
        </w:drawing>
      </w:r>
    </w:p>
    <w:p w14:paraId="47A7FA18" w14:textId="50661B1D" w:rsidR="00685365" w:rsidRPr="002C207B" w:rsidRDefault="00685365" w:rsidP="00685365">
      <w:pPr>
        <w:spacing w:line="480" w:lineRule="auto"/>
        <w:ind w:left="720" w:hanging="720"/>
        <w:jc w:val="both"/>
        <w:rPr>
          <w:rFonts w:cs="Arial"/>
          <w:szCs w:val="22"/>
        </w:rPr>
      </w:pPr>
      <w:r w:rsidRPr="002C207B">
        <w:rPr>
          <w:rFonts w:cs="Arial"/>
          <w:szCs w:val="22"/>
        </w:rPr>
        <w:tab/>
      </w:r>
      <w:r w:rsidRPr="002C207B">
        <w:rPr>
          <w:rFonts w:cs="Arial"/>
          <w:szCs w:val="22"/>
        </w:rPr>
        <w:tab/>
        <w:t xml:space="preserve">Along the horizontal axis in Figure </w:t>
      </w:r>
      <w:r w:rsidR="009B1325">
        <w:rPr>
          <w:rFonts w:cs="Arial"/>
          <w:szCs w:val="22"/>
        </w:rPr>
        <w:t>6</w:t>
      </w:r>
      <w:r w:rsidRPr="002C207B">
        <w:rPr>
          <w:rFonts w:cs="Arial"/>
          <w:szCs w:val="22"/>
        </w:rPr>
        <w:t xml:space="preserve"> above, I have provided the raw unadjusted beta (top row) and the corresponding adjusted </w:t>
      </w:r>
      <w:r w:rsidRPr="002C207B">
        <w:rPr>
          <w:rFonts w:cs="Arial"/>
          <w:i/>
          <w:szCs w:val="22"/>
        </w:rPr>
        <w:t xml:space="preserve">Value Line </w:t>
      </w:r>
      <w:r w:rsidRPr="002C207B">
        <w:rPr>
          <w:rFonts w:cs="Arial"/>
          <w:szCs w:val="22"/>
        </w:rPr>
        <w:t xml:space="preserve">beta (bottom row).  As shown in Figure </w:t>
      </w:r>
      <w:r w:rsidR="009B1325">
        <w:rPr>
          <w:rFonts w:cs="Arial"/>
          <w:szCs w:val="22"/>
        </w:rPr>
        <w:t>6</w:t>
      </w:r>
      <w:r w:rsidRPr="002C207B">
        <w:rPr>
          <w:rFonts w:cs="Arial"/>
          <w:szCs w:val="22"/>
        </w:rPr>
        <w:t xml:space="preserve"> above, the </w:t>
      </w:r>
      <w:proofErr w:type="spellStart"/>
      <w:r w:rsidRPr="002C207B">
        <w:rPr>
          <w:rFonts w:cs="Arial"/>
          <w:szCs w:val="22"/>
        </w:rPr>
        <w:t>CAPM</w:t>
      </w:r>
      <w:proofErr w:type="spellEnd"/>
      <w:r w:rsidRPr="002C207B">
        <w:rPr>
          <w:rFonts w:cs="Arial"/>
          <w:szCs w:val="22"/>
        </w:rPr>
        <w:t xml:space="preserve"> using a </w:t>
      </w:r>
      <w:r w:rsidRPr="002C207B">
        <w:rPr>
          <w:rFonts w:cs="Arial"/>
          <w:i/>
          <w:szCs w:val="22"/>
        </w:rPr>
        <w:t>Value Line</w:t>
      </w:r>
      <w:r w:rsidRPr="002C207B">
        <w:rPr>
          <w:rFonts w:cs="Arial"/>
          <w:szCs w:val="22"/>
        </w:rPr>
        <w:t xml:space="preserve"> beta compared to the </w:t>
      </w:r>
      <w:proofErr w:type="spellStart"/>
      <w:r w:rsidRPr="002C207B">
        <w:rPr>
          <w:rFonts w:cs="Arial"/>
          <w:szCs w:val="22"/>
        </w:rPr>
        <w:t>CAPM</w:t>
      </w:r>
      <w:proofErr w:type="spellEnd"/>
      <w:r w:rsidRPr="002C207B">
        <w:rPr>
          <w:rFonts w:cs="Arial"/>
          <w:szCs w:val="22"/>
        </w:rPr>
        <w:t xml:space="preserve"> using an unadjusted beta shows that the </w:t>
      </w:r>
      <w:r w:rsidRPr="002C207B">
        <w:rPr>
          <w:rFonts w:cs="Arial"/>
          <w:i/>
          <w:szCs w:val="22"/>
        </w:rPr>
        <w:t>Value Line</w:t>
      </w:r>
      <w:r w:rsidRPr="002C207B">
        <w:rPr>
          <w:rFonts w:cs="Arial"/>
          <w:szCs w:val="22"/>
        </w:rPr>
        <w:t xml:space="preserve"> beta raises the intercept point and flattens the slope of the security market line.  As shown in the figure above, the two variations with the most similar slope are the </w:t>
      </w:r>
      <w:proofErr w:type="spellStart"/>
      <w:r w:rsidRPr="002C207B">
        <w:rPr>
          <w:rFonts w:cs="Arial"/>
          <w:szCs w:val="22"/>
        </w:rPr>
        <w:t>CAPM</w:t>
      </w:r>
      <w:proofErr w:type="spellEnd"/>
      <w:r w:rsidRPr="002C207B">
        <w:rPr>
          <w:rFonts w:cs="Arial"/>
          <w:szCs w:val="22"/>
        </w:rPr>
        <w:t xml:space="preserve"> with the </w:t>
      </w:r>
      <w:r w:rsidRPr="002C207B">
        <w:rPr>
          <w:rFonts w:cs="Arial"/>
          <w:i/>
          <w:szCs w:val="22"/>
        </w:rPr>
        <w:t>Value Line</w:t>
      </w:r>
      <w:r w:rsidRPr="002C207B">
        <w:rPr>
          <w:rFonts w:cs="Arial"/>
          <w:szCs w:val="22"/>
        </w:rPr>
        <w:t xml:space="preserve"> beta, and the </w:t>
      </w:r>
      <w:proofErr w:type="spellStart"/>
      <w:r w:rsidRPr="002C207B">
        <w:rPr>
          <w:rFonts w:cs="Arial"/>
          <w:szCs w:val="22"/>
        </w:rPr>
        <w:t>ECAPM</w:t>
      </w:r>
      <w:proofErr w:type="spellEnd"/>
      <w:r w:rsidRPr="002C207B">
        <w:rPr>
          <w:rFonts w:cs="Arial"/>
          <w:szCs w:val="22"/>
        </w:rPr>
        <w:t xml:space="preserve"> with a raw beta.  This evidence shows that the </w:t>
      </w:r>
      <w:proofErr w:type="spellStart"/>
      <w:r w:rsidRPr="002C207B">
        <w:rPr>
          <w:rFonts w:cs="Arial"/>
          <w:szCs w:val="22"/>
        </w:rPr>
        <w:t>ECAPM</w:t>
      </w:r>
      <w:proofErr w:type="spellEnd"/>
      <w:r w:rsidRPr="002C207B">
        <w:rPr>
          <w:rFonts w:cs="Arial"/>
          <w:szCs w:val="22"/>
        </w:rPr>
        <w:t xml:space="preserve"> adjustment has a very similar impact on the expected return line as a </w:t>
      </w:r>
      <w:r w:rsidRPr="002C207B">
        <w:rPr>
          <w:rFonts w:cs="Arial"/>
          <w:i/>
          <w:szCs w:val="22"/>
        </w:rPr>
        <w:t xml:space="preserve">Value Line </w:t>
      </w:r>
      <w:r w:rsidRPr="002C207B">
        <w:rPr>
          <w:rFonts w:cs="Arial"/>
          <w:szCs w:val="22"/>
        </w:rPr>
        <w:t xml:space="preserve">beta.  Another observation that can be made from the figure above is the magnifying effect that the </w:t>
      </w:r>
      <w:proofErr w:type="spellStart"/>
      <w:r w:rsidRPr="002C207B">
        <w:rPr>
          <w:rFonts w:cs="Arial"/>
          <w:szCs w:val="22"/>
        </w:rPr>
        <w:t>ECAPM</w:t>
      </w:r>
      <w:proofErr w:type="spellEnd"/>
      <w:r w:rsidRPr="002C207B">
        <w:rPr>
          <w:rFonts w:cs="Arial"/>
          <w:szCs w:val="22"/>
        </w:rPr>
        <w:t xml:space="preserve"> using a </w:t>
      </w:r>
      <w:r w:rsidRPr="002C207B">
        <w:rPr>
          <w:rFonts w:cs="Arial"/>
          <w:i/>
          <w:szCs w:val="22"/>
        </w:rPr>
        <w:t>Value Line</w:t>
      </w:r>
      <w:r w:rsidRPr="002C207B">
        <w:rPr>
          <w:rFonts w:cs="Arial"/>
          <w:szCs w:val="22"/>
        </w:rPr>
        <w:t xml:space="preserve"> beta has on raising the vertical intercept and flattening the slope relative to all other variations.  There is simply no legitimate basis to use an adjusted beta within an </w:t>
      </w:r>
      <w:proofErr w:type="spellStart"/>
      <w:r w:rsidRPr="002C207B">
        <w:rPr>
          <w:rFonts w:cs="Arial"/>
          <w:szCs w:val="22"/>
        </w:rPr>
        <w:lastRenderedPageBreak/>
        <w:t>ECAPM</w:t>
      </w:r>
      <w:proofErr w:type="spellEnd"/>
      <w:r w:rsidRPr="002C207B">
        <w:rPr>
          <w:rFonts w:cs="Arial"/>
          <w:szCs w:val="22"/>
        </w:rPr>
        <w:t xml:space="preserve"> because it unjustifiably alters the security market line and materially inflates a </w:t>
      </w:r>
      <w:proofErr w:type="spellStart"/>
      <w:r w:rsidRPr="002C207B">
        <w:rPr>
          <w:rFonts w:cs="Arial"/>
          <w:szCs w:val="22"/>
        </w:rPr>
        <w:t>CAPM</w:t>
      </w:r>
      <w:proofErr w:type="spellEnd"/>
      <w:r w:rsidRPr="002C207B">
        <w:rPr>
          <w:rFonts w:cs="Arial"/>
          <w:szCs w:val="22"/>
        </w:rPr>
        <w:t xml:space="preserve"> return for a company with a beta less than 1. </w:t>
      </w:r>
    </w:p>
    <w:p w14:paraId="12324CCE" w14:textId="77777777" w:rsidR="00685365" w:rsidRPr="002C207B" w:rsidRDefault="00685365" w:rsidP="00685365">
      <w:pPr>
        <w:keepNext/>
        <w:keepLines/>
        <w:suppressLineNumbers/>
        <w:spacing w:line="480" w:lineRule="auto"/>
        <w:ind w:left="720" w:hanging="720"/>
        <w:jc w:val="both"/>
        <w:rPr>
          <w:rFonts w:cs="Arial"/>
          <w:caps/>
          <w:szCs w:val="22"/>
        </w:rPr>
      </w:pPr>
    </w:p>
    <w:p w14:paraId="2EB92566" w14:textId="77777777" w:rsidR="00685365" w:rsidRPr="002C207B" w:rsidRDefault="00685365" w:rsidP="00685365">
      <w:pPr>
        <w:spacing w:line="480" w:lineRule="auto"/>
        <w:ind w:left="720" w:hanging="720"/>
        <w:jc w:val="both"/>
        <w:rPr>
          <w:rFonts w:cs="Arial"/>
          <w:b/>
          <w:bCs/>
          <w:caps/>
          <w:szCs w:val="22"/>
        </w:rPr>
      </w:pPr>
      <w:r w:rsidRPr="002C207B">
        <w:rPr>
          <w:rFonts w:cs="Arial"/>
          <w:b/>
          <w:bCs/>
          <w:caps/>
          <w:szCs w:val="22"/>
        </w:rPr>
        <w:t>Q</w:t>
      </w:r>
      <w:r w:rsidRPr="002C207B">
        <w:rPr>
          <w:rFonts w:cs="Arial"/>
          <w:b/>
          <w:bCs/>
          <w:caps/>
          <w:szCs w:val="22"/>
        </w:rPr>
        <w:tab/>
        <w:t>IN YOUR EXPERIENCE, IS MS. NELSON</w:t>
      </w:r>
      <w:r>
        <w:rPr>
          <w:rFonts w:cs="Arial"/>
          <w:b/>
          <w:bCs/>
          <w:caps/>
          <w:szCs w:val="22"/>
        </w:rPr>
        <w:t>’</w:t>
      </w:r>
      <w:r w:rsidRPr="002C207B">
        <w:rPr>
          <w:rFonts w:cs="Arial"/>
          <w:b/>
          <w:bCs/>
          <w:caps/>
          <w:szCs w:val="22"/>
        </w:rPr>
        <w:t xml:space="preserve">S PROPOSED USE OF AN ADJUSTED BETA IN AN </w:t>
      </w:r>
      <w:proofErr w:type="spellStart"/>
      <w:r w:rsidRPr="002C207B">
        <w:rPr>
          <w:rFonts w:cs="Arial"/>
          <w:b/>
          <w:bCs/>
          <w:caps/>
          <w:szCs w:val="22"/>
        </w:rPr>
        <w:t>ECAPM</w:t>
      </w:r>
      <w:proofErr w:type="spellEnd"/>
      <w:r w:rsidRPr="002C207B">
        <w:rPr>
          <w:rFonts w:cs="Arial"/>
          <w:b/>
          <w:bCs/>
          <w:caps/>
          <w:szCs w:val="22"/>
        </w:rPr>
        <w:t xml:space="preserve"> STUDY WIDELY ACCEPTED IN THE REGULATORY ARENA?</w:t>
      </w:r>
    </w:p>
    <w:p w14:paraId="0FDC7421" w14:textId="77777777" w:rsidR="00685365" w:rsidRPr="002C207B" w:rsidRDefault="00685365" w:rsidP="00685365">
      <w:pPr>
        <w:spacing w:line="480" w:lineRule="auto"/>
        <w:ind w:left="720" w:hanging="720"/>
        <w:jc w:val="both"/>
        <w:rPr>
          <w:rFonts w:cs="Arial"/>
          <w:szCs w:val="22"/>
        </w:rPr>
      </w:pPr>
      <w:r w:rsidRPr="002C207B">
        <w:rPr>
          <w:rFonts w:cs="Arial"/>
          <w:szCs w:val="22"/>
        </w:rPr>
        <w:t>A</w:t>
      </w:r>
      <w:r w:rsidRPr="002C207B">
        <w:rPr>
          <w:rFonts w:cs="Arial"/>
          <w:szCs w:val="22"/>
        </w:rPr>
        <w:tab/>
        <w:t xml:space="preserve">No.  In my experience, regulatory commissions generally disregard the use of the </w:t>
      </w:r>
      <w:proofErr w:type="spellStart"/>
      <w:r w:rsidRPr="002C207B">
        <w:rPr>
          <w:rFonts w:cs="Arial"/>
          <w:szCs w:val="22"/>
        </w:rPr>
        <w:t>ECAPM</w:t>
      </w:r>
      <w:proofErr w:type="spellEnd"/>
      <w:r w:rsidRPr="002C207B">
        <w:rPr>
          <w:rFonts w:cs="Arial"/>
          <w:szCs w:val="22"/>
        </w:rPr>
        <w:t xml:space="preserve">, particularly when an adjusted beta is used in the model. </w:t>
      </w:r>
    </w:p>
    <w:p w14:paraId="175FC0B3" w14:textId="77777777" w:rsidR="00685365" w:rsidRPr="002C207B" w:rsidRDefault="00685365" w:rsidP="00685365">
      <w:pPr>
        <w:keepNext/>
        <w:keepLines/>
        <w:suppressLineNumbers/>
        <w:spacing w:line="480" w:lineRule="auto"/>
        <w:ind w:left="720" w:hanging="720"/>
        <w:jc w:val="both"/>
        <w:rPr>
          <w:rFonts w:cs="Arial"/>
          <w:caps/>
          <w:szCs w:val="22"/>
        </w:rPr>
      </w:pPr>
    </w:p>
    <w:p w14:paraId="4F705B08" w14:textId="77777777" w:rsidR="00685365" w:rsidRPr="002C207B" w:rsidRDefault="00685365" w:rsidP="00685365">
      <w:pPr>
        <w:spacing w:line="480" w:lineRule="auto"/>
        <w:ind w:left="720" w:hanging="720"/>
        <w:jc w:val="both"/>
        <w:rPr>
          <w:rFonts w:cs="Arial"/>
          <w:b/>
          <w:bCs/>
          <w:szCs w:val="22"/>
        </w:rPr>
      </w:pPr>
      <w:r w:rsidRPr="002C207B">
        <w:rPr>
          <w:rFonts w:cs="Arial"/>
          <w:b/>
          <w:bCs/>
          <w:caps/>
          <w:szCs w:val="22"/>
        </w:rPr>
        <w:t>Q</w:t>
      </w:r>
      <w:r w:rsidRPr="002C207B">
        <w:rPr>
          <w:rFonts w:cs="Arial"/>
          <w:b/>
          <w:bCs/>
          <w:caps/>
          <w:szCs w:val="22"/>
        </w:rPr>
        <w:tab/>
      </w:r>
      <w:r w:rsidRPr="002C207B">
        <w:rPr>
          <w:rFonts w:cs="Arial"/>
          <w:b/>
          <w:bCs/>
          <w:szCs w:val="22"/>
        </w:rPr>
        <w:t xml:space="preserve">IS THERE A </w:t>
      </w:r>
      <w:r w:rsidRPr="002C207B">
        <w:rPr>
          <w:rFonts w:cs="Arial"/>
          <w:b/>
          <w:bCs/>
          <w:caps/>
          <w:szCs w:val="22"/>
        </w:rPr>
        <w:t>WAY</w:t>
      </w:r>
      <w:r w:rsidRPr="002C207B">
        <w:rPr>
          <w:rFonts w:cs="Arial"/>
          <w:b/>
          <w:bCs/>
          <w:szCs w:val="22"/>
        </w:rPr>
        <w:t xml:space="preserve"> TO MORE ACCURATELY </w:t>
      </w:r>
      <w:r w:rsidRPr="002C207B">
        <w:rPr>
          <w:rFonts w:cs="Arial"/>
          <w:b/>
          <w:bCs/>
          <w:caps/>
          <w:szCs w:val="22"/>
        </w:rPr>
        <w:t>MEASURE</w:t>
      </w:r>
      <w:r w:rsidRPr="002C207B">
        <w:rPr>
          <w:rFonts w:cs="Arial"/>
          <w:b/>
          <w:bCs/>
          <w:szCs w:val="22"/>
        </w:rPr>
        <w:t xml:space="preserve"> THE COST OF EQUITY FOR </w:t>
      </w:r>
      <w:proofErr w:type="spellStart"/>
      <w:r>
        <w:rPr>
          <w:rFonts w:cs="Arial"/>
          <w:b/>
          <w:bCs/>
          <w:szCs w:val="22"/>
        </w:rPr>
        <w:t>EPE</w:t>
      </w:r>
      <w:proofErr w:type="spellEnd"/>
      <w:r w:rsidRPr="002C207B">
        <w:rPr>
          <w:rFonts w:cs="Arial"/>
          <w:b/>
          <w:bCs/>
          <w:szCs w:val="22"/>
        </w:rPr>
        <w:t xml:space="preserve"> USING THE </w:t>
      </w:r>
      <w:proofErr w:type="spellStart"/>
      <w:r w:rsidRPr="002C207B">
        <w:rPr>
          <w:rFonts w:cs="Arial"/>
          <w:b/>
          <w:bCs/>
          <w:szCs w:val="22"/>
        </w:rPr>
        <w:t>ECAPM</w:t>
      </w:r>
      <w:proofErr w:type="spellEnd"/>
      <w:r w:rsidRPr="002C207B">
        <w:rPr>
          <w:rFonts w:cs="Arial"/>
          <w:b/>
          <w:bCs/>
          <w:szCs w:val="22"/>
        </w:rPr>
        <w:t>?</w:t>
      </w:r>
    </w:p>
    <w:p w14:paraId="2461311A" w14:textId="77777777" w:rsidR="00685365" w:rsidRPr="002C207B" w:rsidRDefault="00685365" w:rsidP="00685365">
      <w:pPr>
        <w:spacing w:line="480" w:lineRule="auto"/>
        <w:ind w:left="720" w:hanging="720"/>
        <w:jc w:val="both"/>
        <w:rPr>
          <w:rFonts w:cs="Arial"/>
          <w:szCs w:val="22"/>
        </w:rPr>
      </w:pPr>
      <w:r w:rsidRPr="002C207B">
        <w:rPr>
          <w:rFonts w:cs="Arial"/>
          <w:szCs w:val="22"/>
        </w:rPr>
        <w:t>A</w:t>
      </w:r>
      <w:r w:rsidRPr="002C207B">
        <w:rPr>
          <w:rFonts w:cs="Arial"/>
          <w:szCs w:val="22"/>
        </w:rPr>
        <w:tab/>
        <w:t xml:space="preserve">Using the appropriate unadjusted beta in the </w:t>
      </w:r>
      <w:proofErr w:type="spellStart"/>
      <w:r w:rsidRPr="002C207B">
        <w:rPr>
          <w:rFonts w:cs="Arial"/>
          <w:szCs w:val="22"/>
        </w:rPr>
        <w:t>ECAPM</w:t>
      </w:r>
      <w:proofErr w:type="spellEnd"/>
      <w:r w:rsidRPr="002C207B">
        <w:rPr>
          <w:rFonts w:cs="Arial"/>
          <w:szCs w:val="22"/>
        </w:rPr>
        <w:t xml:space="preserve"> would produce a reasonable return estimate.  This can be accomplished by removing, or backing out, the adjustment from </w:t>
      </w:r>
      <w:r w:rsidRPr="002C207B">
        <w:rPr>
          <w:rFonts w:cs="Arial"/>
          <w:i/>
          <w:szCs w:val="22"/>
        </w:rPr>
        <w:t>Value Line</w:t>
      </w:r>
      <w:r>
        <w:rPr>
          <w:rFonts w:cs="Arial"/>
          <w:szCs w:val="22"/>
        </w:rPr>
        <w:t>’</w:t>
      </w:r>
      <w:r w:rsidRPr="002C207B">
        <w:rPr>
          <w:rFonts w:cs="Arial"/>
          <w:szCs w:val="22"/>
        </w:rPr>
        <w:t>s published beta.</w:t>
      </w:r>
    </w:p>
    <w:p w14:paraId="3FA57B33" w14:textId="77777777" w:rsidR="00685365" w:rsidRPr="002C207B" w:rsidRDefault="00685365" w:rsidP="00685365">
      <w:pPr>
        <w:spacing w:line="480" w:lineRule="auto"/>
        <w:ind w:left="720" w:firstLine="720"/>
        <w:jc w:val="both"/>
        <w:rPr>
          <w:rFonts w:cs="Arial"/>
          <w:szCs w:val="22"/>
        </w:rPr>
      </w:pPr>
      <w:r w:rsidRPr="002C207B">
        <w:rPr>
          <w:rFonts w:cs="Arial"/>
          <w:szCs w:val="22"/>
        </w:rPr>
        <w:t xml:space="preserve">Removing </w:t>
      </w:r>
      <w:r w:rsidRPr="002C207B">
        <w:rPr>
          <w:rFonts w:cs="Arial"/>
          <w:i/>
          <w:szCs w:val="22"/>
        </w:rPr>
        <w:t>Value Line</w:t>
      </w:r>
      <w:r>
        <w:rPr>
          <w:rFonts w:cs="Arial"/>
          <w:i/>
          <w:szCs w:val="22"/>
        </w:rPr>
        <w:t>’</w:t>
      </w:r>
      <w:r w:rsidRPr="002C207B">
        <w:rPr>
          <w:rFonts w:cs="Arial"/>
          <w:szCs w:val="22"/>
        </w:rPr>
        <w:t xml:space="preserve">s beta adjustment will produce the original regression beta estimate.  Using this regression beta in the </w:t>
      </w:r>
      <w:proofErr w:type="spellStart"/>
      <w:r w:rsidRPr="002C207B">
        <w:rPr>
          <w:rFonts w:cs="Arial"/>
          <w:szCs w:val="22"/>
        </w:rPr>
        <w:t>ECAPM</w:t>
      </w:r>
      <w:proofErr w:type="spellEnd"/>
      <w:r w:rsidRPr="002C207B">
        <w:rPr>
          <w:rFonts w:cs="Arial"/>
          <w:szCs w:val="22"/>
        </w:rPr>
        <w:t xml:space="preserve"> will produce a more accurate result than that offered by Ms. Nelson.  As explained earlier, Ms. Nelson</w:t>
      </w:r>
      <w:r>
        <w:rPr>
          <w:rFonts w:cs="Arial"/>
          <w:szCs w:val="22"/>
        </w:rPr>
        <w:t>’</w:t>
      </w:r>
      <w:r w:rsidRPr="002C207B">
        <w:rPr>
          <w:rFonts w:cs="Arial"/>
          <w:szCs w:val="22"/>
        </w:rPr>
        <w:t xml:space="preserve">s proxy group has an average </w:t>
      </w:r>
      <w:r w:rsidRPr="002C207B">
        <w:rPr>
          <w:rFonts w:cs="Arial"/>
          <w:i/>
          <w:szCs w:val="22"/>
        </w:rPr>
        <w:t>Value Line</w:t>
      </w:r>
      <w:r w:rsidRPr="002C207B">
        <w:rPr>
          <w:rFonts w:cs="Arial"/>
          <w:szCs w:val="22"/>
        </w:rPr>
        <w:t xml:space="preserve"> beta of 0.</w:t>
      </w:r>
      <w:r>
        <w:rPr>
          <w:rFonts w:cs="Arial"/>
          <w:szCs w:val="22"/>
        </w:rPr>
        <w:t>87</w:t>
      </w:r>
      <w:r w:rsidRPr="002C207B">
        <w:rPr>
          <w:rFonts w:cs="Arial"/>
          <w:szCs w:val="22"/>
        </w:rPr>
        <w:t xml:space="preserve">.  By removing the adjustments that </w:t>
      </w:r>
      <w:r w:rsidRPr="002C207B">
        <w:rPr>
          <w:rFonts w:cs="Arial"/>
          <w:i/>
          <w:szCs w:val="22"/>
        </w:rPr>
        <w:t>Value Line</w:t>
      </w:r>
      <w:r w:rsidRPr="002C207B">
        <w:rPr>
          <w:rFonts w:cs="Arial"/>
          <w:szCs w:val="22"/>
        </w:rPr>
        <w:t xml:space="preserve"> made to produce the proxy group</w:t>
      </w:r>
      <w:r>
        <w:rPr>
          <w:rFonts w:cs="Arial"/>
          <w:szCs w:val="22"/>
        </w:rPr>
        <w:t>’</w:t>
      </w:r>
      <w:r w:rsidRPr="002C207B">
        <w:rPr>
          <w:rFonts w:cs="Arial"/>
          <w:szCs w:val="22"/>
        </w:rPr>
        <w:t>s average beta of 0.</w:t>
      </w:r>
      <w:r>
        <w:rPr>
          <w:rFonts w:cs="Arial"/>
          <w:szCs w:val="22"/>
        </w:rPr>
        <w:t>87</w:t>
      </w:r>
      <w:r w:rsidRPr="002C207B">
        <w:rPr>
          <w:rFonts w:cs="Arial"/>
          <w:szCs w:val="22"/>
        </w:rPr>
        <w:t>, I have calculated the original regression beta of 0.</w:t>
      </w:r>
      <w:r>
        <w:rPr>
          <w:rFonts w:cs="Arial"/>
          <w:szCs w:val="22"/>
        </w:rPr>
        <w:t>78</w:t>
      </w:r>
      <w:r w:rsidRPr="002C207B">
        <w:rPr>
          <w:rFonts w:cs="Arial"/>
          <w:szCs w:val="22"/>
        </w:rPr>
        <w:t>.</w:t>
      </w:r>
      <w:r>
        <w:rPr>
          <w:rFonts w:cs="Arial"/>
          <w:szCs w:val="22"/>
          <w:vertAlign w:val="superscript"/>
        </w:rPr>
        <w:footnoteReference w:id="60"/>
      </w:r>
      <w:r w:rsidRPr="002C207B">
        <w:rPr>
          <w:rFonts w:cs="Arial"/>
          <w:szCs w:val="22"/>
        </w:rPr>
        <w:t xml:space="preserve">  Using the regression beta of 0.</w:t>
      </w:r>
      <w:r>
        <w:rPr>
          <w:rFonts w:cs="Arial"/>
          <w:szCs w:val="22"/>
        </w:rPr>
        <w:t>78</w:t>
      </w:r>
      <w:r w:rsidRPr="002C207B">
        <w:rPr>
          <w:rFonts w:cs="Arial"/>
          <w:szCs w:val="22"/>
        </w:rPr>
        <w:t xml:space="preserve"> in the </w:t>
      </w:r>
      <w:proofErr w:type="spellStart"/>
      <w:r w:rsidRPr="002C207B">
        <w:rPr>
          <w:rFonts w:cs="Arial"/>
          <w:szCs w:val="22"/>
        </w:rPr>
        <w:t>ECAPM</w:t>
      </w:r>
      <w:proofErr w:type="spellEnd"/>
      <w:r w:rsidRPr="002C207B">
        <w:rPr>
          <w:rFonts w:cs="Arial"/>
          <w:szCs w:val="22"/>
        </w:rPr>
        <w:t xml:space="preserve"> model shown above will produce an expected return estimate of approximately </w:t>
      </w:r>
      <w:r>
        <w:rPr>
          <w:rFonts w:cs="Arial"/>
          <w:szCs w:val="22"/>
        </w:rPr>
        <w:t>10.0</w:t>
      </w:r>
      <w:r w:rsidRPr="002C207B">
        <w:rPr>
          <w:rFonts w:cs="Arial"/>
          <w:szCs w:val="22"/>
        </w:rPr>
        <w:t>%.</w:t>
      </w:r>
      <w:r>
        <w:rPr>
          <w:rFonts w:cs="Arial"/>
          <w:szCs w:val="22"/>
          <w:vertAlign w:val="superscript"/>
        </w:rPr>
        <w:footnoteReference w:id="61"/>
      </w:r>
    </w:p>
    <w:p w14:paraId="6822481E" w14:textId="77777777" w:rsidR="00685365" w:rsidRPr="002C207B" w:rsidRDefault="00685365" w:rsidP="00685365">
      <w:pPr>
        <w:pStyle w:val="Heading2"/>
      </w:pPr>
      <w:bookmarkStart w:id="102" w:name="_Toc63936873"/>
      <w:bookmarkStart w:id="103" w:name="_Toc85028742"/>
      <w:proofErr w:type="spellStart"/>
      <w:r>
        <w:lastRenderedPageBreak/>
        <w:t>V.</w:t>
      </w:r>
      <w:r w:rsidRPr="002C207B">
        <w:t>E</w:t>
      </w:r>
      <w:proofErr w:type="spellEnd"/>
      <w:r w:rsidRPr="002C207B">
        <w:t>. Nelson</w:t>
      </w:r>
      <w:r>
        <w:t>’</w:t>
      </w:r>
      <w:r w:rsidRPr="002C207B">
        <w:t>s Bond Yield Plus (</w:t>
      </w:r>
      <w:r>
        <w:t>“</w:t>
      </w:r>
      <w:proofErr w:type="spellStart"/>
      <w:r w:rsidRPr="002C207B">
        <w:t>BYP</w:t>
      </w:r>
      <w:proofErr w:type="spellEnd"/>
      <w:r>
        <w:t>”</w:t>
      </w:r>
      <w:r w:rsidRPr="002C207B">
        <w:t>) Risk Premium</w:t>
      </w:r>
      <w:bookmarkEnd w:id="102"/>
      <w:bookmarkEnd w:id="103"/>
    </w:p>
    <w:p w14:paraId="063592CD" w14:textId="77777777" w:rsidR="00685365" w:rsidRPr="002C207B" w:rsidRDefault="00685365" w:rsidP="00685365">
      <w:pPr>
        <w:keepNext/>
        <w:keepLines/>
        <w:spacing w:line="480" w:lineRule="auto"/>
        <w:ind w:left="720" w:hanging="720"/>
        <w:jc w:val="both"/>
        <w:rPr>
          <w:rFonts w:cs="Arial"/>
          <w:b/>
          <w:bCs/>
          <w:caps/>
          <w:szCs w:val="22"/>
        </w:rPr>
      </w:pPr>
      <w:r w:rsidRPr="002C207B">
        <w:rPr>
          <w:rFonts w:cs="Arial"/>
          <w:b/>
          <w:bCs/>
          <w:caps/>
          <w:szCs w:val="22"/>
        </w:rPr>
        <w:t>Q</w:t>
      </w:r>
      <w:r w:rsidRPr="002C207B">
        <w:rPr>
          <w:rFonts w:cs="Arial"/>
          <w:b/>
          <w:bCs/>
          <w:caps/>
          <w:szCs w:val="22"/>
        </w:rPr>
        <w:tab/>
        <w:t>PLEASE DESCRIBE MS. NELSON</w:t>
      </w:r>
      <w:r>
        <w:rPr>
          <w:rFonts w:cs="Arial"/>
          <w:b/>
          <w:bCs/>
          <w:caps/>
          <w:szCs w:val="22"/>
        </w:rPr>
        <w:t>’</w:t>
      </w:r>
      <w:r w:rsidRPr="002C207B">
        <w:rPr>
          <w:rFonts w:cs="Arial"/>
          <w:b/>
          <w:bCs/>
          <w:caps/>
          <w:szCs w:val="22"/>
        </w:rPr>
        <w:t xml:space="preserve">S </w:t>
      </w:r>
      <w:proofErr w:type="spellStart"/>
      <w:r w:rsidRPr="002C207B">
        <w:rPr>
          <w:rFonts w:cs="Arial"/>
          <w:b/>
          <w:bCs/>
          <w:caps/>
          <w:szCs w:val="22"/>
        </w:rPr>
        <w:t>BYP</w:t>
      </w:r>
      <w:proofErr w:type="spellEnd"/>
      <w:r w:rsidRPr="002C207B">
        <w:rPr>
          <w:rFonts w:cs="Arial"/>
          <w:b/>
          <w:bCs/>
          <w:caps/>
          <w:szCs w:val="22"/>
        </w:rPr>
        <w:t xml:space="preserve"> RISK PREMIUM METHODOLOGY.</w:t>
      </w:r>
    </w:p>
    <w:p w14:paraId="504D652A" w14:textId="55C08676" w:rsidR="00685365" w:rsidRPr="002C207B" w:rsidRDefault="00685365" w:rsidP="00685365">
      <w:pPr>
        <w:tabs>
          <w:tab w:val="left" w:pos="720"/>
        </w:tabs>
        <w:overflowPunct w:val="0"/>
        <w:autoSpaceDE w:val="0"/>
        <w:autoSpaceDN w:val="0"/>
        <w:adjustRightInd w:val="0"/>
        <w:spacing w:line="480" w:lineRule="auto"/>
        <w:ind w:left="720" w:hanging="720"/>
        <w:jc w:val="both"/>
        <w:textAlignment w:val="baseline"/>
        <w:rPr>
          <w:rFonts w:cs="Arial"/>
          <w:szCs w:val="22"/>
        </w:rPr>
      </w:pPr>
      <w:r w:rsidRPr="002C207B">
        <w:rPr>
          <w:rFonts w:cs="Arial"/>
          <w:szCs w:val="22"/>
        </w:rPr>
        <w:t>A</w:t>
      </w:r>
      <w:r w:rsidRPr="002C207B">
        <w:rPr>
          <w:rFonts w:cs="Arial"/>
          <w:szCs w:val="22"/>
        </w:rPr>
        <w:tab/>
        <w:t xml:space="preserve">As shown on her Exhibit JEN-6, Ms. Nelson constructs a risk premium return on equity estimate based on the premise that equity risk premiums are inversely related to interest rates.  She estimates the equity risk premium over the period January 1, 1980 through </w:t>
      </w:r>
      <w:r>
        <w:rPr>
          <w:rFonts w:cs="Arial"/>
          <w:szCs w:val="22"/>
        </w:rPr>
        <w:t>March 31</w:t>
      </w:r>
      <w:r w:rsidRPr="002C207B">
        <w:rPr>
          <w:rFonts w:cs="Arial"/>
          <w:szCs w:val="22"/>
        </w:rPr>
        <w:t>, 202</w:t>
      </w:r>
      <w:r>
        <w:rPr>
          <w:rFonts w:cs="Arial"/>
          <w:szCs w:val="22"/>
        </w:rPr>
        <w:t>1</w:t>
      </w:r>
      <w:r w:rsidRPr="002C207B">
        <w:rPr>
          <w:rFonts w:cs="Arial"/>
          <w:szCs w:val="22"/>
        </w:rPr>
        <w:t xml:space="preserve">.  She then applies a regression formula to the current, projected 30-year Treasury bond yields of </w:t>
      </w:r>
      <w:r>
        <w:rPr>
          <w:rFonts w:cs="Arial"/>
          <w:szCs w:val="22"/>
        </w:rPr>
        <w:t>2.31% and 2.8</w:t>
      </w:r>
      <w:r w:rsidRPr="002C207B">
        <w:rPr>
          <w:rFonts w:cs="Arial"/>
          <w:szCs w:val="22"/>
        </w:rPr>
        <w:t xml:space="preserve">8%, respectively, to produce equity risk premiums of </w:t>
      </w:r>
      <w:r>
        <w:rPr>
          <w:rFonts w:cs="Arial"/>
          <w:szCs w:val="22"/>
        </w:rPr>
        <w:t>7.51</w:t>
      </w:r>
      <w:r w:rsidRPr="002C207B">
        <w:rPr>
          <w:rFonts w:cs="Arial"/>
          <w:szCs w:val="22"/>
        </w:rPr>
        <w:t xml:space="preserve">% and </w:t>
      </w:r>
      <w:r>
        <w:rPr>
          <w:rFonts w:cs="Arial"/>
          <w:szCs w:val="22"/>
        </w:rPr>
        <w:t>6.93</w:t>
      </w:r>
      <w:r w:rsidR="00EC3411">
        <w:rPr>
          <w:rFonts w:cs="Arial"/>
          <w:szCs w:val="22"/>
        </w:rPr>
        <w:t>%, respectively.  S</w:t>
      </w:r>
      <w:r w:rsidRPr="002C207B">
        <w:rPr>
          <w:rFonts w:cs="Arial"/>
          <w:szCs w:val="22"/>
        </w:rPr>
        <w:t>he calculates</w:t>
      </w:r>
      <w:r w:rsidR="00EC3411">
        <w:rPr>
          <w:rFonts w:cs="Arial"/>
          <w:szCs w:val="22"/>
        </w:rPr>
        <w:t xml:space="preserve"> a risk premium return on equity estimate</w:t>
      </w:r>
      <w:r w:rsidRPr="002C207B">
        <w:rPr>
          <w:rFonts w:cs="Arial"/>
          <w:szCs w:val="22"/>
        </w:rPr>
        <w:t xml:space="preserve"> of </w:t>
      </w:r>
      <w:r>
        <w:rPr>
          <w:rFonts w:cs="Arial"/>
          <w:szCs w:val="22"/>
        </w:rPr>
        <w:t>9.81%</w:t>
      </w:r>
      <w:r w:rsidRPr="002C207B">
        <w:rPr>
          <w:rFonts w:cs="Arial"/>
          <w:szCs w:val="22"/>
        </w:rPr>
        <w:t>.</w:t>
      </w:r>
      <w:r>
        <w:rPr>
          <w:rStyle w:val="FootnoteReference"/>
          <w:rFonts w:cs="Arial"/>
          <w:szCs w:val="22"/>
        </w:rPr>
        <w:footnoteReference w:id="62"/>
      </w:r>
      <w:r w:rsidRPr="002C207B">
        <w:rPr>
          <w:rFonts w:cs="Arial"/>
          <w:szCs w:val="22"/>
        </w:rPr>
        <w:t xml:space="preserve">  </w:t>
      </w:r>
    </w:p>
    <w:p w14:paraId="442ED9EB" w14:textId="77777777" w:rsidR="00685365" w:rsidRPr="002C207B" w:rsidRDefault="00685365" w:rsidP="00685365">
      <w:pPr>
        <w:keepNext/>
        <w:keepLines/>
        <w:suppressLineNumbers/>
        <w:spacing w:line="480" w:lineRule="auto"/>
        <w:ind w:left="720" w:hanging="720"/>
        <w:jc w:val="both"/>
        <w:rPr>
          <w:rFonts w:cs="Arial"/>
          <w:caps/>
          <w:szCs w:val="22"/>
        </w:rPr>
      </w:pPr>
    </w:p>
    <w:p w14:paraId="546AE828" w14:textId="77777777" w:rsidR="00685365" w:rsidRPr="002C207B" w:rsidRDefault="00685365" w:rsidP="00685365">
      <w:pPr>
        <w:spacing w:line="480" w:lineRule="auto"/>
        <w:ind w:left="720" w:hanging="720"/>
        <w:jc w:val="both"/>
        <w:rPr>
          <w:rFonts w:cs="Arial"/>
          <w:b/>
          <w:bCs/>
          <w:caps/>
          <w:szCs w:val="22"/>
        </w:rPr>
      </w:pPr>
      <w:r w:rsidRPr="002C207B">
        <w:rPr>
          <w:rFonts w:cs="Arial"/>
          <w:b/>
          <w:bCs/>
          <w:caps/>
          <w:szCs w:val="22"/>
        </w:rPr>
        <w:t>Q</w:t>
      </w:r>
      <w:r w:rsidRPr="002C207B">
        <w:rPr>
          <w:rFonts w:cs="Arial"/>
          <w:b/>
          <w:bCs/>
          <w:caps/>
          <w:szCs w:val="22"/>
        </w:rPr>
        <w:tab/>
        <w:t>IS MS. NELSON</w:t>
      </w:r>
      <w:r>
        <w:rPr>
          <w:rFonts w:cs="Arial"/>
          <w:b/>
          <w:bCs/>
          <w:caps/>
          <w:szCs w:val="22"/>
        </w:rPr>
        <w:t>’</w:t>
      </w:r>
      <w:r w:rsidRPr="002C207B">
        <w:rPr>
          <w:rFonts w:cs="Arial"/>
          <w:b/>
          <w:bCs/>
          <w:caps/>
          <w:szCs w:val="22"/>
        </w:rPr>
        <w:t xml:space="preserve">S </w:t>
      </w:r>
      <w:proofErr w:type="spellStart"/>
      <w:r w:rsidRPr="002C207B">
        <w:rPr>
          <w:rFonts w:cs="Arial"/>
          <w:b/>
          <w:bCs/>
          <w:caps/>
          <w:szCs w:val="22"/>
        </w:rPr>
        <w:t>BYP</w:t>
      </w:r>
      <w:proofErr w:type="spellEnd"/>
      <w:r w:rsidRPr="002C207B">
        <w:rPr>
          <w:rFonts w:cs="Arial"/>
          <w:b/>
          <w:bCs/>
          <w:caps/>
          <w:szCs w:val="22"/>
        </w:rPr>
        <w:t xml:space="preserve"> RISK PREMIUM METHODOLOGY REASONABLE?</w:t>
      </w:r>
    </w:p>
    <w:p w14:paraId="245933EE" w14:textId="77777777" w:rsidR="00685365" w:rsidRPr="002C207B" w:rsidRDefault="00685365" w:rsidP="00685365">
      <w:pPr>
        <w:overflowPunct w:val="0"/>
        <w:autoSpaceDE w:val="0"/>
        <w:autoSpaceDN w:val="0"/>
        <w:adjustRightInd w:val="0"/>
        <w:spacing w:line="480" w:lineRule="auto"/>
        <w:ind w:left="720" w:hanging="720"/>
        <w:jc w:val="both"/>
        <w:textAlignment w:val="baseline"/>
        <w:rPr>
          <w:rFonts w:cs="Arial"/>
          <w:szCs w:val="22"/>
        </w:rPr>
      </w:pPr>
      <w:r w:rsidRPr="002C207B">
        <w:rPr>
          <w:rFonts w:eastAsia="Calibri" w:cs="Arial"/>
          <w:szCs w:val="22"/>
        </w:rPr>
        <w:t>A</w:t>
      </w:r>
      <w:r w:rsidRPr="002C207B">
        <w:rPr>
          <w:rFonts w:eastAsia="Calibri" w:cs="Arial"/>
          <w:szCs w:val="22"/>
        </w:rPr>
        <w:tab/>
      </w:r>
      <w:r w:rsidRPr="002C207B">
        <w:rPr>
          <w:rFonts w:cs="Arial"/>
          <w:szCs w:val="22"/>
        </w:rPr>
        <w:t>No.  Ms. Nelson contends that there is a simplistic inverse relationship between equity risk premiums and interest rates without any regard to differences in investment risk.  Academic studies are quite clear that interest rates are a relevant factor in assessing current market equity risk premiums, but the risk premium ties more specifically to the market</w:t>
      </w:r>
      <w:r>
        <w:rPr>
          <w:rFonts w:cs="Arial"/>
          <w:szCs w:val="22"/>
        </w:rPr>
        <w:t>’</w:t>
      </w:r>
      <w:r w:rsidRPr="002C207B">
        <w:rPr>
          <w:rFonts w:cs="Arial"/>
          <w:szCs w:val="22"/>
        </w:rPr>
        <w:t>s perception of investment risk of debt and equity securities, and not simply changes in interest rates.</w:t>
      </w:r>
    </w:p>
    <w:p w14:paraId="0D29EC6F" w14:textId="77777777" w:rsidR="00685365" w:rsidRPr="002C207B" w:rsidRDefault="00685365" w:rsidP="00685365">
      <w:pPr>
        <w:overflowPunct w:val="0"/>
        <w:autoSpaceDE w:val="0"/>
        <w:autoSpaceDN w:val="0"/>
        <w:adjustRightInd w:val="0"/>
        <w:spacing w:line="480" w:lineRule="auto"/>
        <w:ind w:left="720" w:firstLine="720"/>
        <w:jc w:val="both"/>
        <w:textAlignment w:val="baseline"/>
        <w:rPr>
          <w:rFonts w:cs="Arial"/>
          <w:szCs w:val="22"/>
        </w:rPr>
      </w:pPr>
      <w:r w:rsidRPr="002C207B">
        <w:rPr>
          <w:rFonts w:eastAsia="Calibri" w:cs="Arial"/>
          <w:szCs w:val="22"/>
        </w:rPr>
        <w:t>More specifically, w</w:t>
      </w:r>
      <w:r w:rsidRPr="002C207B">
        <w:rPr>
          <w:rFonts w:cs="Arial"/>
          <w:szCs w:val="22"/>
        </w:rPr>
        <w:t xml:space="preserve">hile academic studies have shown that, in the past, there has been an inverse relationship among these variables, researchers have found that the relationship changes over time and is influenced by changes in perception of the risk of bond investments relative to equity investments, and not simply changes </w:t>
      </w:r>
      <w:r>
        <w:rPr>
          <w:rFonts w:cs="Arial"/>
          <w:szCs w:val="22"/>
        </w:rPr>
        <w:t>in</w:t>
      </w:r>
      <w:r w:rsidRPr="002C207B">
        <w:rPr>
          <w:rFonts w:cs="Arial"/>
          <w:szCs w:val="22"/>
        </w:rPr>
        <w:t xml:space="preserve"> interest rates.</w:t>
      </w:r>
      <w:r>
        <w:rPr>
          <w:rFonts w:cs="Arial"/>
          <w:szCs w:val="22"/>
          <w:vertAlign w:val="superscript"/>
        </w:rPr>
        <w:footnoteReference w:id="63"/>
      </w:r>
      <w:r w:rsidRPr="002C207B">
        <w:rPr>
          <w:rFonts w:cs="Arial"/>
          <w:szCs w:val="22"/>
        </w:rPr>
        <w:t xml:space="preserve">  </w:t>
      </w:r>
    </w:p>
    <w:p w14:paraId="1C600FEE" w14:textId="77777777" w:rsidR="00685365" w:rsidRPr="002C207B" w:rsidRDefault="00685365" w:rsidP="00685365">
      <w:pPr>
        <w:overflowPunct w:val="0"/>
        <w:autoSpaceDE w:val="0"/>
        <w:autoSpaceDN w:val="0"/>
        <w:adjustRightInd w:val="0"/>
        <w:spacing w:line="480" w:lineRule="auto"/>
        <w:ind w:left="720" w:hanging="720"/>
        <w:jc w:val="both"/>
        <w:textAlignment w:val="baseline"/>
        <w:rPr>
          <w:rFonts w:cs="Arial"/>
          <w:szCs w:val="22"/>
        </w:rPr>
      </w:pPr>
      <w:r w:rsidRPr="002C207B">
        <w:rPr>
          <w:rFonts w:cs="Arial"/>
          <w:szCs w:val="22"/>
        </w:rPr>
        <w:lastRenderedPageBreak/>
        <w:tab/>
      </w:r>
      <w:r w:rsidRPr="002C207B">
        <w:rPr>
          <w:rFonts w:cs="Arial"/>
          <w:szCs w:val="22"/>
        </w:rPr>
        <w:tab/>
        <w:t xml:space="preserve">In the 1980s, equity risk premiums were inversely related to interest rates, but that was likely attributable to the interest rate volatility that existed at that time.  As such, when interest rates were more volatile, perceptions of bond investment risk increased relative to the investment risk of equities.  This changing investment risk perception caused changes in equity risk premiums.  </w:t>
      </w:r>
    </w:p>
    <w:p w14:paraId="2C4FDA61" w14:textId="77777777" w:rsidR="00685365" w:rsidRPr="002C207B" w:rsidRDefault="00685365" w:rsidP="00685365">
      <w:pPr>
        <w:overflowPunct w:val="0"/>
        <w:autoSpaceDE w:val="0"/>
        <w:autoSpaceDN w:val="0"/>
        <w:adjustRightInd w:val="0"/>
        <w:spacing w:line="480" w:lineRule="auto"/>
        <w:ind w:left="720" w:hanging="720"/>
        <w:jc w:val="both"/>
        <w:textAlignment w:val="baseline"/>
        <w:rPr>
          <w:rFonts w:cs="Arial"/>
          <w:szCs w:val="22"/>
        </w:rPr>
      </w:pPr>
      <w:r w:rsidRPr="002C207B">
        <w:rPr>
          <w:rFonts w:cs="Arial"/>
          <w:szCs w:val="22"/>
        </w:rPr>
        <w:tab/>
      </w:r>
      <w:r w:rsidRPr="002C207B">
        <w:rPr>
          <w:rFonts w:cs="Arial"/>
          <w:szCs w:val="22"/>
        </w:rPr>
        <w:tab/>
        <w:t>In today</w:t>
      </w:r>
      <w:r>
        <w:rPr>
          <w:rFonts w:cs="Arial"/>
          <w:szCs w:val="22"/>
        </w:rPr>
        <w:t>’</w:t>
      </w:r>
      <w:r w:rsidRPr="002C207B">
        <w:rPr>
          <w:rFonts w:cs="Arial"/>
          <w:szCs w:val="22"/>
        </w:rPr>
        <w:t>s marketplace, interest rate volatility is not as extreme as it was during the 1980s.</w:t>
      </w:r>
      <w:r>
        <w:rPr>
          <w:rFonts w:cs="Arial"/>
          <w:szCs w:val="22"/>
          <w:vertAlign w:val="superscript"/>
        </w:rPr>
        <w:footnoteReference w:id="64"/>
      </w:r>
      <w:r w:rsidRPr="002C207B">
        <w:rPr>
          <w:rFonts w:cs="Arial"/>
          <w:szCs w:val="22"/>
        </w:rPr>
        <w:t xml:space="preserve">  Nevertheless, changes in the perceived risk of bond investments relative to equity investments still drive changes in equity premiums and cannot be measured simply by observing nominal interest rates.  Changes in nominal interest rates are heavily influenced by changes to inflation outlooks, which also change equity return expectations.  As such, the relevant factor needed to explain changes in equity risk premiums is the relative changes between the risk of equity versus debt investments, and not simply changes in interest rates.  </w:t>
      </w:r>
    </w:p>
    <w:p w14:paraId="0E798891" w14:textId="77777777" w:rsidR="00685365" w:rsidRDefault="00685365" w:rsidP="00685365">
      <w:pPr>
        <w:overflowPunct w:val="0"/>
        <w:autoSpaceDE w:val="0"/>
        <w:autoSpaceDN w:val="0"/>
        <w:adjustRightInd w:val="0"/>
        <w:spacing w:line="480" w:lineRule="auto"/>
        <w:ind w:left="720" w:hanging="720"/>
        <w:jc w:val="both"/>
        <w:textAlignment w:val="baseline"/>
        <w:rPr>
          <w:rFonts w:cs="Arial"/>
          <w:szCs w:val="22"/>
        </w:rPr>
      </w:pPr>
      <w:r w:rsidRPr="002C207B">
        <w:rPr>
          <w:rFonts w:cs="Arial"/>
          <w:szCs w:val="22"/>
        </w:rPr>
        <w:tab/>
      </w:r>
      <w:r w:rsidRPr="002C207B">
        <w:rPr>
          <w:rFonts w:cs="Arial"/>
          <w:szCs w:val="22"/>
        </w:rPr>
        <w:tab/>
        <w:t>Importantly, Ms. Nelson</w:t>
      </w:r>
      <w:r>
        <w:rPr>
          <w:rFonts w:cs="Arial"/>
          <w:szCs w:val="22"/>
        </w:rPr>
        <w:t>’</w:t>
      </w:r>
      <w:r w:rsidRPr="002C207B">
        <w:rPr>
          <w:rFonts w:cs="Arial"/>
          <w:szCs w:val="22"/>
        </w:rPr>
        <w:t xml:space="preserve">s analysis simply ignores investment risk differentials.  She bases her adjustment to the equity risk premium exclusively on changes in nominal interest rates.  This is a flawed methodology that does not produce accurate or reliable risk premium estimates.  </w:t>
      </w:r>
    </w:p>
    <w:p w14:paraId="6778E788" w14:textId="77777777" w:rsidR="00685365" w:rsidRPr="002C207B" w:rsidRDefault="00685365" w:rsidP="00685365">
      <w:pPr>
        <w:suppressLineNumbers/>
        <w:overflowPunct w:val="0"/>
        <w:autoSpaceDE w:val="0"/>
        <w:autoSpaceDN w:val="0"/>
        <w:adjustRightInd w:val="0"/>
        <w:spacing w:line="480" w:lineRule="auto"/>
        <w:ind w:left="720" w:hanging="720"/>
        <w:jc w:val="both"/>
        <w:textAlignment w:val="baseline"/>
        <w:rPr>
          <w:rFonts w:cs="Arial"/>
          <w:szCs w:val="22"/>
        </w:rPr>
      </w:pPr>
    </w:p>
    <w:p w14:paraId="245749D7" w14:textId="77777777" w:rsidR="00685365" w:rsidRPr="002C207B" w:rsidRDefault="00685365" w:rsidP="00685365">
      <w:pPr>
        <w:spacing w:line="480" w:lineRule="auto"/>
        <w:ind w:left="720" w:hanging="720"/>
        <w:jc w:val="both"/>
        <w:rPr>
          <w:rFonts w:cs="Arial"/>
          <w:b/>
          <w:bCs/>
          <w:caps/>
          <w:szCs w:val="22"/>
        </w:rPr>
      </w:pPr>
      <w:r w:rsidRPr="002C207B">
        <w:rPr>
          <w:rFonts w:cs="Arial"/>
          <w:b/>
          <w:bCs/>
          <w:caps/>
          <w:szCs w:val="22"/>
        </w:rPr>
        <w:t>Q</w:t>
      </w:r>
      <w:r w:rsidRPr="002C207B">
        <w:rPr>
          <w:rFonts w:cs="Arial"/>
          <w:b/>
          <w:bCs/>
          <w:caps/>
          <w:szCs w:val="22"/>
        </w:rPr>
        <w:tab/>
        <w:t xml:space="preserve">DO YOU BELIEVE THAT THE REGRESSION STUDY USED BY MS. NELSON IN HER </w:t>
      </w:r>
      <w:proofErr w:type="spellStart"/>
      <w:r w:rsidRPr="002C207B">
        <w:rPr>
          <w:rFonts w:cs="Arial"/>
          <w:b/>
          <w:bCs/>
          <w:caps/>
          <w:szCs w:val="22"/>
        </w:rPr>
        <w:t>BYP</w:t>
      </w:r>
      <w:proofErr w:type="spellEnd"/>
      <w:r w:rsidRPr="002C207B">
        <w:rPr>
          <w:rFonts w:cs="Arial"/>
          <w:b/>
          <w:bCs/>
          <w:caps/>
          <w:szCs w:val="22"/>
        </w:rPr>
        <w:t xml:space="preserve"> DEMONSTRATES AN ACCURATE CAUSE AND EFFECT BETWEEN INTEREST RATES AND EQUITY RISK PREMIUMS?</w:t>
      </w:r>
    </w:p>
    <w:p w14:paraId="43B87321" w14:textId="159CB4B8" w:rsidR="00685365" w:rsidRPr="002C207B" w:rsidRDefault="00685365" w:rsidP="00685365">
      <w:pPr>
        <w:overflowPunct w:val="0"/>
        <w:autoSpaceDE w:val="0"/>
        <w:autoSpaceDN w:val="0"/>
        <w:adjustRightInd w:val="0"/>
        <w:spacing w:line="480" w:lineRule="auto"/>
        <w:ind w:left="720" w:hanging="720"/>
        <w:jc w:val="both"/>
        <w:textAlignment w:val="baseline"/>
        <w:rPr>
          <w:rFonts w:cs="Arial"/>
          <w:szCs w:val="22"/>
        </w:rPr>
      </w:pPr>
      <w:r w:rsidRPr="002C207B">
        <w:rPr>
          <w:rFonts w:cs="Arial"/>
          <w:szCs w:val="22"/>
        </w:rPr>
        <w:t>A</w:t>
      </w:r>
      <w:r w:rsidRPr="002C207B">
        <w:rPr>
          <w:rFonts w:cs="Arial"/>
          <w:szCs w:val="22"/>
        </w:rPr>
        <w:tab/>
        <w:t xml:space="preserve">No.  Because the returns on equity she uses are authorized by commissions, those returns on equity are not directly adjusted by market forces.  While I also use </w:t>
      </w:r>
      <w:r w:rsidR="00EC3411">
        <w:rPr>
          <w:rFonts w:cs="Arial"/>
          <w:szCs w:val="22"/>
        </w:rPr>
        <w:t>c</w:t>
      </w:r>
      <w:r w:rsidRPr="002C207B">
        <w:rPr>
          <w:rFonts w:cs="Arial"/>
          <w:szCs w:val="22"/>
        </w:rPr>
        <w:t xml:space="preserve">ommission-authorized returns as a proxy for market-required returns, of significance </w:t>
      </w:r>
      <w:r w:rsidRPr="002C207B">
        <w:rPr>
          <w:rFonts w:cs="Arial"/>
          <w:szCs w:val="22"/>
        </w:rPr>
        <w:lastRenderedPageBreak/>
        <w:t>is the simple regression analysis that tries to describe and gauge equity risk premiums based on only changes in interest rates.</w:t>
      </w:r>
    </w:p>
    <w:p w14:paraId="16259168" w14:textId="77777777" w:rsidR="00685365" w:rsidRDefault="00685365" w:rsidP="00685365">
      <w:pPr>
        <w:overflowPunct w:val="0"/>
        <w:autoSpaceDE w:val="0"/>
        <w:autoSpaceDN w:val="0"/>
        <w:adjustRightInd w:val="0"/>
        <w:spacing w:line="480" w:lineRule="auto"/>
        <w:ind w:left="720" w:hanging="720"/>
        <w:jc w:val="both"/>
        <w:textAlignment w:val="baseline"/>
        <w:rPr>
          <w:rFonts w:cs="Arial"/>
          <w:szCs w:val="22"/>
        </w:rPr>
      </w:pPr>
      <w:r w:rsidRPr="002C207B">
        <w:rPr>
          <w:rFonts w:cs="Arial"/>
          <w:szCs w:val="22"/>
        </w:rPr>
        <w:tab/>
      </w:r>
      <w:r w:rsidRPr="002C207B">
        <w:rPr>
          <w:rFonts w:cs="Arial"/>
          <w:szCs w:val="22"/>
        </w:rPr>
        <w:tab/>
        <w:t>Equity risk premiums can move based on changes in market conditions that can impact both equity returns and bond returns in a like manner.  This simple regression analysis of equity risk premiums and interest rates ignores these relevant market factors in describing the current market-required equity risk premium.</w:t>
      </w:r>
    </w:p>
    <w:p w14:paraId="3A480325" w14:textId="77777777" w:rsidR="00685365" w:rsidRDefault="00685365" w:rsidP="00685365">
      <w:pPr>
        <w:suppressLineNumbers/>
        <w:overflowPunct w:val="0"/>
        <w:autoSpaceDE w:val="0"/>
        <w:autoSpaceDN w:val="0"/>
        <w:adjustRightInd w:val="0"/>
        <w:spacing w:line="480" w:lineRule="auto"/>
        <w:ind w:left="720" w:hanging="720"/>
        <w:jc w:val="both"/>
        <w:textAlignment w:val="baseline"/>
        <w:rPr>
          <w:rFonts w:cs="Arial"/>
          <w:szCs w:val="22"/>
        </w:rPr>
      </w:pPr>
    </w:p>
    <w:p w14:paraId="77AD7D67" w14:textId="77777777" w:rsidR="00685365" w:rsidRPr="007114B7" w:rsidRDefault="00685365" w:rsidP="00685365">
      <w:pPr>
        <w:keepNext/>
        <w:spacing w:line="480" w:lineRule="auto"/>
        <w:ind w:left="720" w:hanging="720"/>
        <w:jc w:val="both"/>
        <w:rPr>
          <w:rFonts w:cs="Arial"/>
          <w:b/>
          <w:bCs/>
          <w:caps/>
          <w:szCs w:val="22"/>
        </w:rPr>
      </w:pPr>
      <w:r>
        <w:rPr>
          <w:rFonts w:cs="Arial"/>
          <w:b/>
          <w:bCs/>
          <w:caps/>
          <w:szCs w:val="22"/>
        </w:rPr>
        <w:t>Q</w:t>
      </w:r>
      <w:r>
        <w:rPr>
          <w:rFonts w:cs="Arial"/>
          <w:b/>
          <w:bCs/>
          <w:caps/>
          <w:szCs w:val="22"/>
        </w:rPr>
        <w:tab/>
        <w:t>CAN MS. Nelson’</w:t>
      </w:r>
      <w:r w:rsidRPr="007114B7">
        <w:rPr>
          <w:rFonts w:cs="Arial"/>
          <w:b/>
          <w:bCs/>
          <w:caps/>
          <w:szCs w:val="22"/>
        </w:rPr>
        <w:t xml:space="preserve">S </w:t>
      </w:r>
      <w:proofErr w:type="spellStart"/>
      <w:r w:rsidRPr="007114B7">
        <w:rPr>
          <w:rFonts w:cs="Arial"/>
          <w:b/>
          <w:bCs/>
          <w:caps/>
          <w:szCs w:val="22"/>
        </w:rPr>
        <w:t>BYP</w:t>
      </w:r>
      <w:proofErr w:type="spellEnd"/>
      <w:r w:rsidRPr="007114B7">
        <w:rPr>
          <w:rFonts w:cs="Arial"/>
          <w:b/>
          <w:bCs/>
          <w:caps/>
          <w:szCs w:val="22"/>
        </w:rPr>
        <w:t xml:space="preserve"> RISK PREMIUM ANALYSIS BE REVISED TO REFLECT CURRENT PROJECTIONS OF TREASURY YIELDS?</w:t>
      </w:r>
    </w:p>
    <w:p w14:paraId="55B0C5E3" w14:textId="330DC355" w:rsidR="00685365" w:rsidRPr="007114B7" w:rsidRDefault="00685365" w:rsidP="00685365">
      <w:pPr>
        <w:spacing w:line="480" w:lineRule="auto"/>
        <w:ind w:left="720" w:hanging="720"/>
        <w:jc w:val="both"/>
        <w:rPr>
          <w:rFonts w:cs="Arial"/>
          <w:szCs w:val="22"/>
        </w:rPr>
      </w:pPr>
      <w:r w:rsidRPr="007114B7">
        <w:rPr>
          <w:rFonts w:cs="Arial"/>
          <w:szCs w:val="22"/>
        </w:rPr>
        <w:t>A</w:t>
      </w:r>
      <w:r w:rsidRPr="007114B7">
        <w:rPr>
          <w:rFonts w:cs="Arial"/>
          <w:szCs w:val="22"/>
        </w:rPr>
        <w:tab/>
        <w:t xml:space="preserve">Yes.  Ms. </w:t>
      </w:r>
      <w:r>
        <w:rPr>
          <w:rFonts w:cs="Arial"/>
          <w:szCs w:val="22"/>
        </w:rPr>
        <w:t>Nelson’</w:t>
      </w:r>
      <w:r w:rsidRPr="007114B7">
        <w:rPr>
          <w:rFonts w:cs="Arial"/>
          <w:szCs w:val="22"/>
        </w:rPr>
        <w:t>s simplistic and incomplete notion that equity risk premiums change only with changes to nominal interest rates should be rejected.  Adding my high-end average equity risk premium over Treasury bonds of 6.</w:t>
      </w:r>
      <w:r>
        <w:rPr>
          <w:rFonts w:cs="Arial"/>
          <w:szCs w:val="22"/>
        </w:rPr>
        <w:t>3</w:t>
      </w:r>
      <w:r w:rsidR="00C86197">
        <w:rPr>
          <w:rFonts w:cs="Arial"/>
          <w:szCs w:val="22"/>
        </w:rPr>
        <w:t>6</w:t>
      </w:r>
      <w:r w:rsidRPr="007114B7">
        <w:rPr>
          <w:rFonts w:cs="Arial"/>
          <w:szCs w:val="22"/>
        </w:rPr>
        <w:t>% to her Treasury yields of 2.3</w:t>
      </w:r>
      <w:r>
        <w:rPr>
          <w:rFonts w:cs="Arial"/>
          <w:szCs w:val="22"/>
        </w:rPr>
        <w:t>1</w:t>
      </w:r>
      <w:r w:rsidRPr="007114B7">
        <w:rPr>
          <w:rFonts w:cs="Arial"/>
          <w:szCs w:val="22"/>
        </w:rPr>
        <w:t>% and 2.6</w:t>
      </w:r>
      <w:r>
        <w:rPr>
          <w:rFonts w:cs="Arial"/>
          <w:szCs w:val="22"/>
        </w:rPr>
        <w:t>8</w:t>
      </w:r>
      <w:r w:rsidRPr="007114B7">
        <w:rPr>
          <w:rFonts w:cs="Arial"/>
          <w:szCs w:val="22"/>
        </w:rPr>
        <w:t xml:space="preserve">%, produces a </w:t>
      </w:r>
      <w:proofErr w:type="spellStart"/>
      <w:r w:rsidRPr="007114B7">
        <w:rPr>
          <w:rFonts w:cs="Arial"/>
          <w:szCs w:val="22"/>
        </w:rPr>
        <w:t>BYP</w:t>
      </w:r>
      <w:proofErr w:type="spellEnd"/>
      <w:r w:rsidRPr="007114B7">
        <w:rPr>
          <w:rFonts w:cs="Arial"/>
          <w:szCs w:val="22"/>
        </w:rPr>
        <w:t xml:space="preserve"> no higher than 9.</w:t>
      </w:r>
      <w:r w:rsidR="00C86197">
        <w:rPr>
          <w:rFonts w:cs="Arial"/>
          <w:szCs w:val="22"/>
        </w:rPr>
        <w:t>0</w:t>
      </w:r>
      <w:r w:rsidRPr="007114B7">
        <w:rPr>
          <w:rFonts w:cs="Arial"/>
          <w:szCs w:val="22"/>
        </w:rPr>
        <w:t>0%.</w:t>
      </w:r>
    </w:p>
    <w:p w14:paraId="79A47DD6" w14:textId="77777777" w:rsidR="00685365" w:rsidRPr="002C207B" w:rsidRDefault="00685365" w:rsidP="00685365">
      <w:pPr>
        <w:suppressLineNumbers/>
        <w:overflowPunct w:val="0"/>
        <w:autoSpaceDE w:val="0"/>
        <w:autoSpaceDN w:val="0"/>
        <w:adjustRightInd w:val="0"/>
        <w:spacing w:line="480" w:lineRule="auto"/>
        <w:ind w:left="720" w:hanging="720"/>
        <w:jc w:val="both"/>
        <w:textAlignment w:val="baseline"/>
        <w:rPr>
          <w:rFonts w:cs="Arial"/>
          <w:szCs w:val="22"/>
        </w:rPr>
      </w:pPr>
    </w:p>
    <w:p w14:paraId="367C7BEB" w14:textId="77777777" w:rsidR="00685365" w:rsidRPr="002C207B" w:rsidRDefault="00685365" w:rsidP="00685365">
      <w:pPr>
        <w:pStyle w:val="Heading2"/>
      </w:pPr>
      <w:bookmarkStart w:id="104" w:name="_Toc63936875"/>
      <w:bookmarkStart w:id="105" w:name="_Toc85028743"/>
      <w:proofErr w:type="spellStart"/>
      <w:r>
        <w:t>V.</w:t>
      </w:r>
      <w:r w:rsidRPr="002C207B">
        <w:t>F</w:t>
      </w:r>
      <w:proofErr w:type="spellEnd"/>
      <w:r w:rsidRPr="002C207B">
        <w:t>.  Ms. Nelson</w:t>
      </w:r>
      <w:r>
        <w:t>’</w:t>
      </w:r>
      <w:r w:rsidRPr="002C207B">
        <w:t>s Consideration of Additional Risks</w:t>
      </w:r>
      <w:bookmarkEnd w:id="104"/>
      <w:bookmarkEnd w:id="105"/>
    </w:p>
    <w:p w14:paraId="60AAC5E7" w14:textId="77777777" w:rsidR="00685365" w:rsidRPr="002C207B" w:rsidRDefault="00685365" w:rsidP="00685365">
      <w:pPr>
        <w:spacing w:line="480" w:lineRule="auto"/>
        <w:ind w:left="720" w:hanging="720"/>
        <w:jc w:val="both"/>
        <w:rPr>
          <w:rFonts w:cs="Arial"/>
          <w:b/>
          <w:bCs/>
          <w:caps/>
          <w:szCs w:val="22"/>
        </w:rPr>
      </w:pPr>
      <w:r w:rsidRPr="002C207B">
        <w:rPr>
          <w:rFonts w:cs="Arial"/>
          <w:b/>
          <w:bCs/>
          <w:caps/>
          <w:szCs w:val="22"/>
        </w:rPr>
        <w:t>Q</w:t>
      </w:r>
      <w:r w:rsidRPr="002C207B">
        <w:rPr>
          <w:rFonts w:cs="Arial"/>
          <w:b/>
          <w:bCs/>
          <w:caps/>
          <w:szCs w:val="22"/>
        </w:rPr>
        <w:tab/>
        <w:t>DID MS. NELSON INJECT CONSIDERATION OF ADDITIONAL BUSINESS RISKS TO JUSTIFY her RETURN ON EQUITY?</w:t>
      </w:r>
    </w:p>
    <w:p w14:paraId="12771F77" w14:textId="3FAAA40E" w:rsidR="00685365" w:rsidRPr="002C207B" w:rsidRDefault="00685365" w:rsidP="00685365">
      <w:pPr>
        <w:tabs>
          <w:tab w:val="left" w:pos="-1440"/>
        </w:tabs>
        <w:autoSpaceDE w:val="0"/>
        <w:autoSpaceDN w:val="0"/>
        <w:spacing w:line="480" w:lineRule="auto"/>
        <w:ind w:left="720" w:hanging="720"/>
        <w:jc w:val="both"/>
        <w:rPr>
          <w:rFonts w:cs="Arial"/>
          <w:szCs w:val="22"/>
        </w:rPr>
      </w:pPr>
      <w:r w:rsidRPr="002C207B">
        <w:rPr>
          <w:rFonts w:cs="Arial"/>
          <w:szCs w:val="22"/>
        </w:rPr>
        <w:t>A</w:t>
      </w:r>
      <w:r w:rsidRPr="002C207B">
        <w:rPr>
          <w:rFonts w:cs="Arial"/>
          <w:szCs w:val="22"/>
        </w:rPr>
        <w:tab/>
        <w:t xml:space="preserve">It appears so.  Ms. Nelson believes that </w:t>
      </w:r>
      <w:proofErr w:type="spellStart"/>
      <w:r>
        <w:rPr>
          <w:rFonts w:cs="Arial"/>
          <w:szCs w:val="22"/>
        </w:rPr>
        <w:t>EPE</w:t>
      </w:r>
      <w:proofErr w:type="spellEnd"/>
      <w:r w:rsidRPr="002C207B">
        <w:rPr>
          <w:rFonts w:cs="Arial"/>
          <w:szCs w:val="22"/>
        </w:rPr>
        <w:t xml:space="preserve"> is exposed to additional risks that should be accounted for</w:t>
      </w:r>
      <w:r>
        <w:rPr>
          <w:rFonts w:cs="Arial"/>
          <w:szCs w:val="22"/>
        </w:rPr>
        <w:t xml:space="preserve">: </w:t>
      </w:r>
      <w:r w:rsidRPr="007114B7">
        <w:rPr>
          <w:rFonts w:cs="Arial"/>
          <w:szCs w:val="22"/>
        </w:rPr>
        <w:t xml:space="preserve">(1) </w:t>
      </w:r>
      <w:proofErr w:type="spellStart"/>
      <w:r>
        <w:rPr>
          <w:rFonts w:cs="Arial"/>
          <w:szCs w:val="22"/>
        </w:rPr>
        <w:t>EPE’s</w:t>
      </w:r>
      <w:proofErr w:type="spellEnd"/>
      <w:r>
        <w:rPr>
          <w:rFonts w:cs="Arial"/>
          <w:szCs w:val="22"/>
        </w:rPr>
        <w:t xml:space="preserve"> regulatory environment and its capital expenditure plan</w:t>
      </w:r>
      <w:r w:rsidR="00EC3411">
        <w:rPr>
          <w:rFonts w:cs="Arial"/>
          <w:szCs w:val="22"/>
        </w:rPr>
        <w:t>;</w:t>
      </w:r>
      <w:r w:rsidRPr="007114B7">
        <w:rPr>
          <w:rFonts w:cs="Arial"/>
          <w:szCs w:val="22"/>
        </w:rPr>
        <w:t xml:space="preserve"> (2) </w:t>
      </w:r>
      <w:r>
        <w:rPr>
          <w:rFonts w:cs="Arial"/>
          <w:szCs w:val="22"/>
        </w:rPr>
        <w:t>The Company’s nuclear generation operations</w:t>
      </w:r>
      <w:r w:rsidR="00EC3411">
        <w:rPr>
          <w:rFonts w:cs="Arial"/>
          <w:szCs w:val="22"/>
        </w:rPr>
        <w:t>; and</w:t>
      </w:r>
      <w:r w:rsidRPr="007114B7">
        <w:rPr>
          <w:rFonts w:cs="Arial"/>
          <w:szCs w:val="22"/>
        </w:rPr>
        <w:t xml:space="preserve"> (3) </w:t>
      </w:r>
      <w:proofErr w:type="spellStart"/>
      <w:r>
        <w:rPr>
          <w:rFonts w:cs="Arial"/>
          <w:szCs w:val="22"/>
        </w:rPr>
        <w:t>EPE’s</w:t>
      </w:r>
      <w:proofErr w:type="spellEnd"/>
      <w:r>
        <w:rPr>
          <w:rFonts w:cs="Arial"/>
          <w:szCs w:val="22"/>
        </w:rPr>
        <w:t xml:space="preserve"> small size relative to the proxy group companies</w:t>
      </w:r>
      <w:r w:rsidRPr="002C207B">
        <w:rPr>
          <w:rFonts w:cs="Arial"/>
          <w:szCs w:val="22"/>
        </w:rPr>
        <w:t>.</w:t>
      </w:r>
      <w:r>
        <w:rPr>
          <w:rFonts w:cs="Arial"/>
          <w:szCs w:val="22"/>
          <w:vertAlign w:val="superscript"/>
        </w:rPr>
        <w:footnoteReference w:id="65"/>
      </w:r>
      <w:r w:rsidRPr="002C207B">
        <w:rPr>
          <w:rFonts w:cs="Arial"/>
          <w:szCs w:val="22"/>
        </w:rPr>
        <w:t xml:space="preserve">  Ms. Nelson believes that these additional risks should be considered in determining </w:t>
      </w:r>
      <w:proofErr w:type="spellStart"/>
      <w:r>
        <w:rPr>
          <w:rFonts w:cs="Arial"/>
          <w:szCs w:val="22"/>
        </w:rPr>
        <w:t>EPE’</w:t>
      </w:r>
      <w:r w:rsidRPr="002C207B">
        <w:rPr>
          <w:rFonts w:cs="Arial"/>
          <w:szCs w:val="22"/>
        </w:rPr>
        <w:t>s</w:t>
      </w:r>
      <w:proofErr w:type="spellEnd"/>
      <w:r w:rsidRPr="002C207B">
        <w:rPr>
          <w:rFonts w:cs="Arial"/>
          <w:szCs w:val="22"/>
        </w:rPr>
        <w:t xml:space="preserve"> return on equity.  As discussed below, </w:t>
      </w:r>
      <w:proofErr w:type="spellStart"/>
      <w:r>
        <w:rPr>
          <w:rFonts w:cs="Arial"/>
          <w:szCs w:val="22"/>
        </w:rPr>
        <w:t>EPE’</w:t>
      </w:r>
      <w:r w:rsidRPr="002C207B">
        <w:rPr>
          <w:rFonts w:cs="Arial"/>
          <w:szCs w:val="22"/>
        </w:rPr>
        <w:t>s</w:t>
      </w:r>
      <w:proofErr w:type="spellEnd"/>
      <w:r w:rsidRPr="002C207B">
        <w:rPr>
          <w:rFonts w:cs="Arial"/>
          <w:szCs w:val="22"/>
        </w:rPr>
        <w:t xml:space="preserve"> relative risk is comparable to the risk of the utility companies included in the proxy group.</w:t>
      </w:r>
    </w:p>
    <w:p w14:paraId="0ED6FC12" w14:textId="77777777" w:rsidR="00685365" w:rsidRPr="002C207B" w:rsidRDefault="00685365" w:rsidP="00685365">
      <w:pPr>
        <w:keepNext/>
        <w:spacing w:line="480" w:lineRule="auto"/>
        <w:ind w:left="720" w:hanging="720"/>
        <w:jc w:val="both"/>
        <w:rPr>
          <w:rFonts w:cs="Arial"/>
          <w:b/>
          <w:bCs/>
          <w:caps/>
          <w:szCs w:val="22"/>
        </w:rPr>
      </w:pPr>
      <w:r w:rsidRPr="009A18E7">
        <w:rPr>
          <w:rFonts w:cs="Arial"/>
          <w:b/>
          <w:bCs/>
          <w:caps/>
          <w:szCs w:val="22"/>
        </w:rPr>
        <w:lastRenderedPageBreak/>
        <w:t>Q</w:t>
      </w:r>
      <w:r w:rsidRPr="009A18E7">
        <w:rPr>
          <w:rFonts w:cs="Arial"/>
          <w:b/>
          <w:bCs/>
          <w:caps/>
          <w:szCs w:val="22"/>
        </w:rPr>
        <w:tab/>
        <w:t>PLEASE EXPLAIN.</w:t>
      </w:r>
    </w:p>
    <w:p w14:paraId="6890E4D3" w14:textId="77777777" w:rsidR="00685365" w:rsidRPr="002C207B" w:rsidRDefault="00685365" w:rsidP="00685365">
      <w:pPr>
        <w:tabs>
          <w:tab w:val="left" w:pos="720"/>
        </w:tabs>
        <w:overflowPunct w:val="0"/>
        <w:autoSpaceDE w:val="0"/>
        <w:autoSpaceDN w:val="0"/>
        <w:adjustRightInd w:val="0"/>
        <w:spacing w:line="480" w:lineRule="auto"/>
        <w:ind w:left="720" w:hanging="720"/>
        <w:jc w:val="both"/>
        <w:textAlignment w:val="baseline"/>
        <w:rPr>
          <w:rFonts w:cs="Arial"/>
          <w:szCs w:val="22"/>
        </w:rPr>
      </w:pPr>
      <w:r w:rsidRPr="002C207B">
        <w:rPr>
          <w:rFonts w:cs="Arial"/>
          <w:szCs w:val="22"/>
        </w:rPr>
        <w:t>A</w:t>
      </w:r>
      <w:r w:rsidRPr="002C207B">
        <w:rPr>
          <w:rFonts w:cs="Arial"/>
          <w:szCs w:val="22"/>
        </w:rPr>
        <w:tab/>
        <w:t xml:space="preserve">The major business risks identified by Ms. Nelson are already considered in the assigning of a credit rating by the various credit rating agencies.  </w:t>
      </w:r>
    </w:p>
    <w:p w14:paraId="19A76BE4" w14:textId="77777777" w:rsidR="00685365" w:rsidRPr="002C207B" w:rsidRDefault="00685365" w:rsidP="00685365">
      <w:pPr>
        <w:tabs>
          <w:tab w:val="left" w:pos="720"/>
        </w:tabs>
        <w:overflowPunct w:val="0"/>
        <w:autoSpaceDE w:val="0"/>
        <w:autoSpaceDN w:val="0"/>
        <w:adjustRightInd w:val="0"/>
        <w:spacing w:line="480" w:lineRule="auto"/>
        <w:ind w:left="720" w:hanging="720"/>
        <w:jc w:val="both"/>
        <w:textAlignment w:val="baseline"/>
        <w:rPr>
          <w:rFonts w:cs="Arial"/>
          <w:szCs w:val="22"/>
        </w:rPr>
      </w:pPr>
      <w:r w:rsidRPr="002C207B">
        <w:rPr>
          <w:rFonts w:cs="Arial"/>
          <w:szCs w:val="22"/>
        </w:rPr>
        <w:tab/>
      </w:r>
      <w:r w:rsidRPr="002C207B">
        <w:rPr>
          <w:rFonts w:cs="Arial"/>
          <w:szCs w:val="22"/>
        </w:rPr>
        <w:tab/>
      </w:r>
      <w:r>
        <w:rPr>
          <w:rFonts w:cs="Arial"/>
          <w:szCs w:val="22"/>
        </w:rPr>
        <w:t>T</w:t>
      </w:r>
      <w:r w:rsidRPr="002C207B">
        <w:rPr>
          <w:rFonts w:cs="Arial"/>
          <w:szCs w:val="22"/>
        </w:rPr>
        <w:t xml:space="preserve">he average S&amp;P credit rating for my proxy group of </w:t>
      </w:r>
      <w:r>
        <w:rPr>
          <w:rFonts w:cs="Arial"/>
          <w:szCs w:val="22"/>
        </w:rPr>
        <w:t xml:space="preserve">BBB+, as shown on my </w:t>
      </w:r>
      <w:r w:rsidRPr="00E92E03">
        <w:rPr>
          <w:rFonts w:cs="Arial"/>
          <w:szCs w:val="22"/>
        </w:rPr>
        <w:t>Exhibit MPG-3</w:t>
      </w:r>
      <w:r>
        <w:rPr>
          <w:rFonts w:cs="Arial"/>
          <w:szCs w:val="22"/>
        </w:rPr>
        <w:t>,</w:t>
      </w:r>
      <w:r w:rsidRPr="002C207B">
        <w:rPr>
          <w:rFonts w:cs="Arial"/>
          <w:szCs w:val="22"/>
        </w:rPr>
        <w:t xml:space="preserve"> </w:t>
      </w:r>
      <w:r w:rsidRPr="009A18E7">
        <w:rPr>
          <w:rFonts w:cs="Arial"/>
          <w:szCs w:val="22"/>
        </w:rPr>
        <w:t xml:space="preserve">is comparable to </w:t>
      </w:r>
      <w:proofErr w:type="spellStart"/>
      <w:r>
        <w:rPr>
          <w:rFonts w:cs="Arial"/>
          <w:szCs w:val="22"/>
        </w:rPr>
        <w:t>EPE’</w:t>
      </w:r>
      <w:r w:rsidRPr="009A18E7">
        <w:rPr>
          <w:rFonts w:cs="Arial"/>
          <w:szCs w:val="22"/>
        </w:rPr>
        <w:t>s</w:t>
      </w:r>
      <w:proofErr w:type="spellEnd"/>
      <w:r w:rsidRPr="009A18E7">
        <w:rPr>
          <w:rFonts w:cs="Arial"/>
          <w:szCs w:val="22"/>
        </w:rPr>
        <w:t xml:space="preserve"> credit rating from </w:t>
      </w:r>
      <w:r>
        <w:rPr>
          <w:rFonts w:cs="Arial"/>
          <w:szCs w:val="22"/>
        </w:rPr>
        <w:t>Fitch of BBB</w:t>
      </w:r>
      <w:r w:rsidRPr="009A18E7">
        <w:rPr>
          <w:rFonts w:cs="Arial"/>
          <w:szCs w:val="22"/>
        </w:rPr>
        <w:t>.</w:t>
      </w:r>
      <w:r w:rsidRPr="002C207B">
        <w:rPr>
          <w:rFonts w:cs="Arial"/>
          <w:szCs w:val="22"/>
        </w:rPr>
        <w:t xml:space="preserve">  The relative risks discussed on pages </w:t>
      </w:r>
      <w:r>
        <w:rPr>
          <w:rFonts w:cs="Arial"/>
          <w:szCs w:val="22"/>
        </w:rPr>
        <w:t>50-61</w:t>
      </w:r>
      <w:r w:rsidRPr="002C207B">
        <w:rPr>
          <w:rFonts w:cs="Arial"/>
          <w:szCs w:val="22"/>
        </w:rPr>
        <w:t xml:space="preserve"> of Ms. Nelson</w:t>
      </w:r>
      <w:r>
        <w:rPr>
          <w:rFonts w:cs="Arial"/>
          <w:szCs w:val="22"/>
        </w:rPr>
        <w:t>’</w:t>
      </w:r>
      <w:r w:rsidRPr="002C207B">
        <w:rPr>
          <w:rFonts w:cs="Arial"/>
          <w:szCs w:val="22"/>
        </w:rPr>
        <w:t>s direct testimony are already incorporated in the credit ratings of the proxy group companies.  Indeed, S&amp;P and other credit rating agencies go to great lengths and detail in assessing a utility</w:t>
      </w:r>
      <w:r>
        <w:rPr>
          <w:rFonts w:cs="Arial"/>
          <w:szCs w:val="22"/>
        </w:rPr>
        <w:t>’</w:t>
      </w:r>
      <w:r w:rsidRPr="002C207B">
        <w:rPr>
          <w:rFonts w:cs="Arial"/>
          <w:szCs w:val="22"/>
        </w:rPr>
        <w:t xml:space="preserve">s business risk and financial risk in order to evaluate total investment risk.  This total investment risk assessment of </w:t>
      </w:r>
      <w:proofErr w:type="spellStart"/>
      <w:r>
        <w:rPr>
          <w:rFonts w:cs="Arial"/>
          <w:szCs w:val="22"/>
        </w:rPr>
        <w:t>EPE</w:t>
      </w:r>
      <w:proofErr w:type="spellEnd"/>
      <w:r w:rsidRPr="002C207B">
        <w:rPr>
          <w:rFonts w:cs="Arial"/>
          <w:szCs w:val="22"/>
        </w:rPr>
        <w:t>, in comparison to a proxy group, is fully absorbed into the market</w:t>
      </w:r>
      <w:r>
        <w:rPr>
          <w:rFonts w:cs="Arial"/>
          <w:szCs w:val="22"/>
        </w:rPr>
        <w:t>’</w:t>
      </w:r>
      <w:r w:rsidRPr="002C207B">
        <w:rPr>
          <w:rFonts w:cs="Arial"/>
          <w:szCs w:val="22"/>
        </w:rPr>
        <w:t xml:space="preserve">s perception of </w:t>
      </w:r>
      <w:proofErr w:type="spellStart"/>
      <w:r>
        <w:rPr>
          <w:rFonts w:cs="Arial"/>
          <w:szCs w:val="22"/>
        </w:rPr>
        <w:t>EPE’</w:t>
      </w:r>
      <w:r w:rsidRPr="002C207B">
        <w:rPr>
          <w:rFonts w:cs="Arial"/>
          <w:szCs w:val="22"/>
        </w:rPr>
        <w:t>s</w:t>
      </w:r>
      <w:proofErr w:type="spellEnd"/>
      <w:r w:rsidRPr="002C207B">
        <w:rPr>
          <w:rFonts w:cs="Arial"/>
          <w:szCs w:val="22"/>
        </w:rPr>
        <w:t xml:space="preserve"> risk.  The use of my proxy group fully captures the investment risk of </w:t>
      </w:r>
      <w:proofErr w:type="spellStart"/>
      <w:r>
        <w:rPr>
          <w:rFonts w:cs="Arial"/>
          <w:szCs w:val="22"/>
        </w:rPr>
        <w:t>EPE</w:t>
      </w:r>
      <w:proofErr w:type="spellEnd"/>
      <w:r w:rsidRPr="002C207B">
        <w:rPr>
          <w:rFonts w:cs="Arial"/>
          <w:szCs w:val="22"/>
        </w:rPr>
        <w:t xml:space="preserve">. </w:t>
      </w:r>
    </w:p>
    <w:p w14:paraId="46E2B942" w14:textId="77777777" w:rsidR="00685365" w:rsidRPr="002C207B" w:rsidRDefault="00685365" w:rsidP="00685365">
      <w:pPr>
        <w:keepNext/>
        <w:keepLines/>
        <w:suppressLineNumbers/>
        <w:spacing w:line="480" w:lineRule="auto"/>
        <w:ind w:left="720" w:hanging="720"/>
        <w:jc w:val="both"/>
        <w:rPr>
          <w:rFonts w:cs="Arial"/>
          <w:caps/>
          <w:szCs w:val="22"/>
        </w:rPr>
      </w:pPr>
    </w:p>
    <w:p w14:paraId="02E9F1FF" w14:textId="77777777" w:rsidR="00685365" w:rsidRPr="002C207B" w:rsidRDefault="00685365" w:rsidP="00685365">
      <w:pPr>
        <w:spacing w:line="480" w:lineRule="auto"/>
        <w:ind w:left="720" w:hanging="720"/>
        <w:jc w:val="both"/>
        <w:rPr>
          <w:rFonts w:cs="Arial"/>
          <w:b/>
          <w:bCs/>
          <w:caps/>
          <w:szCs w:val="22"/>
        </w:rPr>
      </w:pPr>
      <w:r w:rsidRPr="002C207B">
        <w:rPr>
          <w:rFonts w:cs="Arial"/>
          <w:b/>
          <w:bCs/>
          <w:caps/>
          <w:szCs w:val="22"/>
        </w:rPr>
        <w:t>Q</w:t>
      </w:r>
      <w:r w:rsidRPr="002C207B">
        <w:rPr>
          <w:rFonts w:cs="Arial"/>
          <w:b/>
          <w:bCs/>
          <w:caps/>
          <w:szCs w:val="22"/>
        </w:rPr>
        <w:tab/>
        <w:t>HOW DOES S&amp;P ASSIGN CORPORATE CREDIT RATINGS FOR REGULATED UTILITIES?</w:t>
      </w:r>
    </w:p>
    <w:p w14:paraId="63F56F05" w14:textId="77777777" w:rsidR="00685365" w:rsidRPr="002C207B" w:rsidRDefault="00685365" w:rsidP="00685365">
      <w:pPr>
        <w:tabs>
          <w:tab w:val="left" w:pos="-1440"/>
        </w:tabs>
        <w:overflowPunct w:val="0"/>
        <w:autoSpaceDE w:val="0"/>
        <w:autoSpaceDN w:val="0"/>
        <w:adjustRightInd w:val="0"/>
        <w:spacing w:line="480" w:lineRule="auto"/>
        <w:ind w:left="720" w:hanging="720"/>
        <w:jc w:val="both"/>
        <w:textAlignment w:val="baseline"/>
        <w:rPr>
          <w:rFonts w:cs="Arial"/>
          <w:szCs w:val="22"/>
        </w:rPr>
      </w:pPr>
      <w:r w:rsidRPr="002C207B">
        <w:rPr>
          <w:rFonts w:cs="Arial"/>
          <w:szCs w:val="22"/>
        </w:rPr>
        <w:t>A</w:t>
      </w:r>
      <w:r w:rsidRPr="002C207B">
        <w:rPr>
          <w:rFonts w:cs="Arial"/>
          <w:szCs w:val="22"/>
        </w:rPr>
        <w:tab/>
        <w:t>In assigning corporate credit ratings, the credit rating agency considers both business and financial risks.  Business risks, among others, include a company</w:t>
      </w:r>
      <w:r>
        <w:rPr>
          <w:rFonts w:cs="Arial"/>
          <w:szCs w:val="22"/>
        </w:rPr>
        <w:t>’</w:t>
      </w:r>
      <w:r w:rsidRPr="002C207B">
        <w:rPr>
          <w:rFonts w:cs="Arial"/>
          <w:szCs w:val="22"/>
        </w:rPr>
        <w:t>s size, competitive position, generation portfolio, and capital expenditure programs, as well as consideration of the regulatory environment, current state of the industry, and the economy as whole.  Specifically, S&amp;P states:</w:t>
      </w:r>
    </w:p>
    <w:p w14:paraId="59B0F32D" w14:textId="77777777" w:rsidR="00685365" w:rsidRPr="002C207B" w:rsidRDefault="00685365" w:rsidP="00685365">
      <w:pPr>
        <w:overflowPunct w:val="0"/>
        <w:autoSpaceDE w:val="0"/>
        <w:autoSpaceDN w:val="0"/>
        <w:adjustRightInd w:val="0"/>
        <w:spacing w:after="240"/>
        <w:ind w:left="1440" w:right="720"/>
        <w:jc w:val="both"/>
        <w:textAlignment w:val="baseline"/>
        <w:rPr>
          <w:rFonts w:cs="Arial"/>
          <w:szCs w:val="22"/>
        </w:rPr>
      </w:pPr>
      <w:r w:rsidRPr="002C207B">
        <w:rPr>
          <w:rFonts w:cs="Arial"/>
          <w:szCs w:val="22"/>
        </w:rPr>
        <w:t>To determine the assessment for a corporate issuer</w:t>
      </w:r>
      <w:r>
        <w:rPr>
          <w:rFonts w:cs="Arial"/>
          <w:szCs w:val="22"/>
        </w:rPr>
        <w:t>’</w:t>
      </w:r>
      <w:r w:rsidRPr="002C207B">
        <w:rPr>
          <w:rFonts w:cs="Arial"/>
          <w:szCs w:val="22"/>
        </w:rPr>
        <w:t>s business risk profile, the criteria combine our assessments of industry risk, country risk, and competitive position.  Cash flow/leverage analysis determines a company</w:t>
      </w:r>
      <w:r>
        <w:rPr>
          <w:rFonts w:cs="Arial"/>
          <w:szCs w:val="22"/>
        </w:rPr>
        <w:t>’</w:t>
      </w:r>
      <w:r w:rsidRPr="002C207B">
        <w:rPr>
          <w:rFonts w:cs="Arial"/>
          <w:szCs w:val="22"/>
        </w:rPr>
        <w:t>s financial risk profile assessment.  The analysis then combines the corporate issuer</w:t>
      </w:r>
      <w:r>
        <w:rPr>
          <w:rFonts w:cs="Arial"/>
          <w:szCs w:val="22"/>
        </w:rPr>
        <w:t>’</w:t>
      </w:r>
      <w:r w:rsidRPr="002C207B">
        <w:rPr>
          <w:rFonts w:cs="Arial"/>
          <w:szCs w:val="22"/>
        </w:rPr>
        <w:t xml:space="preserve">s business risk profile assessment and its financial risk profile assessment to determine its anchor.  In general, the analysis weighs the business risk profile more heavily for </w:t>
      </w:r>
      <w:r w:rsidRPr="002C207B">
        <w:rPr>
          <w:rFonts w:cs="Arial"/>
          <w:szCs w:val="22"/>
        </w:rPr>
        <w:lastRenderedPageBreak/>
        <w:t>investment-grade anchors, while the financial risk profile carries more weight for speculative-grade anchors.</w:t>
      </w:r>
      <w:r>
        <w:rPr>
          <w:rFonts w:cs="Arial"/>
          <w:szCs w:val="22"/>
          <w:vertAlign w:val="superscript"/>
        </w:rPr>
        <w:footnoteReference w:id="66"/>
      </w:r>
    </w:p>
    <w:p w14:paraId="746DE674" w14:textId="77777777" w:rsidR="00685365" w:rsidRPr="002C207B" w:rsidRDefault="00685365" w:rsidP="00685365">
      <w:pPr>
        <w:keepNext/>
        <w:keepLines/>
        <w:suppressLineNumbers/>
        <w:spacing w:line="480" w:lineRule="auto"/>
        <w:ind w:left="720" w:hanging="720"/>
        <w:jc w:val="both"/>
        <w:rPr>
          <w:rFonts w:cs="Arial"/>
          <w:caps/>
          <w:szCs w:val="22"/>
        </w:rPr>
      </w:pPr>
    </w:p>
    <w:p w14:paraId="372ED991" w14:textId="77777777" w:rsidR="00685365" w:rsidRPr="002C207B" w:rsidRDefault="00685365" w:rsidP="00685365">
      <w:pPr>
        <w:pStyle w:val="Heading2"/>
      </w:pPr>
      <w:bookmarkStart w:id="106" w:name="_Toc63936877"/>
      <w:bookmarkStart w:id="107" w:name="_Toc85028744"/>
      <w:r>
        <w:t>V.</w:t>
      </w:r>
      <w:r w:rsidRPr="002C207B">
        <w:t>F.1.  Size Adjustment</w:t>
      </w:r>
      <w:bookmarkEnd w:id="106"/>
      <w:bookmarkEnd w:id="107"/>
    </w:p>
    <w:p w14:paraId="1B5D5908" w14:textId="2B64362B" w:rsidR="00685365" w:rsidRPr="002C207B" w:rsidRDefault="00685365" w:rsidP="00ED3CCF">
      <w:pPr>
        <w:autoSpaceDE w:val="0"/>
        <w:autoSpaceDN w:val="0"/>
        <w:spacing w:line="480" w:lineRule="auto"/>
        <w:ind w:left="720" w:hanging="720"/>
        <w:jc w:val="both"/>
        <w:rPr>
          <w:rFonts w:cs="Arial"/>
          <w:b/>
          <w:color w:val="000000"/>
          <w:szCs w:val="22"/>
        </w:rPr>
      </w:pPr>
      <w:r w:rsidRPr="002C207B">
        <w:rPr>
          <w:rFonts w:cs="Arial"/>
          <w:b/>
          <w:color w:val="000000"/>
          <w:szCs w:val="22"/>
        </w:rPr>
        <w:t>Q</w:t>
      </w:r>
      <w:r w:rsidRPr="002C207B">
        <w:rPr>
          <w:rFonts w:cs="Arial"/>
          <w:b/>
          <w:color w:val="000000"/>
          <w:szCs w:val="22"/>
        </w:rPr>
        <w:tab/>
        <w:t>PLEASE DESCRIBE MS. NELSON</w:t>
      </w:r>
      <w:r>
        <w:rPr>
          <w:rFonts w:cs="Arial"/>
          <w:b/>
          <w:color w:val="000000"/>
          <w:szCs w:val="22"/>
        </w:rPr>
        <w:t>’</w:t>
      </w:r>
      <w:r w:rsidR="00EC3411">
        <w:rPr>
          <w:rFonts w:cs="Arial"/>
          <w:b/>
          <w:color w:val="000000"/>
          <w:szCs w:val="22"/>
        </w:rPr>
        <w:t>S SIZE ADJUSTMENT.</w:t>
      </w:r>
    </w:p>
    <w:p w14:paraId="672D5B13" w14:textId="24C73038" w:rsidR="00685365" w:rsidRPr="002C207B" w:rsidRDefault="00685365" w:rsidP="00ED3CCF">
      <w:pPr>
        <w:tabs>
          <w:tab w:val="left" w:pos="-1440"/>
          <w:tab w:val="left" w:pos="1440"/>
        </w:tabs>
        <w:autoSpaceDE w:val="0"/>
        <w:autoSpaceDN w:val="0"/>
        <w:spacing w:line="480" w:lineRule="auto"/>
        <w:ind w:left="720" w:hanging="720"/>
        <w:jc w:val="both"/>
        <w:rPr>
          <w:rFonts w:cs="Arial"/>
          <w:color w:val="000000"/>
          <w:szCs w:val="22"/>
        </w:rPr>
      </w:pPr>
      <w:r w:rsidRPr="002C207B">
        <w:rPr>
          <w:rFonts w:cs="Arial"/>
          <w:szCs w:val="22"/>
        </w:rPr>
        <w:t>A</w:t>
      </w:r>
      <w:r w:rsidRPr="002C207B">
        <w:rPr>
          <w:rFonts w:cs="Arial"/>
          <w:b/>
          <w:color w:val="000000"/>
          <w:szCs w:val="22"/>
        </w:rPr>
        <w:tab/>
      </w:r>
      <w:r w:rsidRPr="002C207B">
        <w:rPr>
          <w:rFonts w:cs="Arial"/>
          <w:color w:val="000000"/>
          <w:szCs w:val="22"/>
        </w:rPr>
        <w:t>Ms. Nelson establishes a hypothetical market capitalization of $</w:t>
      </w:r>
      <w:r>
        <w:rPr>
          <w:rFonts w:cs="Arial"/>
          <w:color w:val="000000"/>
          <w:szCs w:val="22"/>
        </w:rPr>
        <w:t>1,934.41 million</w:t>
      </w:r>
      <w:r w:rsidRPr="002C207B">
        <w:rPr>
          <w:rFonts w:cs="Arial"/>
          <w:color w:val="000000"/>
          <w:szCs w:val="22"/>
        </w:rPr>
        <w:t xml:space="preserve"> for </w:t>
      </w:r>
      <w:proofErr w:type="spellStart"/>
      <w:r>
        <w:rPr>
          <w:rFonts w:cs="Arial"/>
          <w:color w:val="000000"/>
          <w:szCs w:val="22"/>
        </w:rPr>
        <w:t>EPE</w:t>
      </w:r>
      <w:proofErr w:type="spellEnd"/>
      <w:r w:rsidRPr="002C207B">
        <w:rPr>
          <w:rFonts w:cs="Arial"/>
          <w:color w:val="000000"/>
          <w:szCs w:val="22"/>
        </w:rPr>
        <w:t xml:space="preserve"> based on the Company</w:t>
      </w:r>
      <w:r>
        <w:rPr>
          <w:rFonts w:cs="Arial"/>
          <w:color w:val="000000"/>
          <w:szCs w:val="22"/>
        </w:rPr>
        <w:t>’</w:t>
      </w:r>
      <w:r w:rsidRPr="002C207B">
        <w:rPr>
          <w:rFonts w:cs="Arial"/>
          <w:color w:val="000000"/>
          <w:szCs w:val="22"/>
        </w:rPr>
        <w:t xml:space="preserve">s </w:t>
      </w:r>
      <w:r w:rsidR="00EC3411">
        <w:rPr>
          <w:rFonts w:cs="Arial"/>
          <w:color w:val="000000"/>
          <w:szCs w:val="22"/>
        </w:rPr>
        <w:t>Texas</w:t>
      </w:r>
      <w:r>
        <w:rPr>
          <w:rFonts w:cs="Arial"/>
          <w:color w:val="000000"/>
          <w:szCs w:val="22"/>
        </w:rPr>
        <w:t xml:space="preserve"> </w:t>
      </w:r>
      <w:r w:rsidRPr="002C207B">
        <w:rPr>
          <w:rFonts w:cs="Arial"/>
          <w:color w:val="000000"/>
          <w:szCs w:val="22"/>
        </w:rPr>
        <w:t>rate base</w:t>
      </w:r>
      <w:r>
        <w:rPr>
          <w:rFonts w:cs="Arial"/>
          <w:color w:val="000000"/>
          <w:szCs w:val="22"/>
        </w:rPr>
        <w:t xml:space="preserve"> or $2,471.15 for total Company rate base</w:t>
      </w:r>
      <w:r w:rsidRPr="002C207B">
        <w:rPr>
          <w:rFonts w:cs="Arial"/>
          <w:color w:val="000000"/>
          <w:szCs w:val="22"/>
        </w:rPr>
        <w:t>, which she compares to the market capitalization of the utility companies included in her proxy group.  Ms. Nelson</w:t>
      </w:r>
      <w:r>
        <w:rPr>
          <w:rFonts w:cs="Arial"/>
          <w:color w:val="000000"/>
          <w:szCs w:val="22"/>
        </w:rPr>
        <w:t>’</w:t>
      </w:r>
      <w:r w:rsidRPr="002C207B">
        <w:rPr>
          <w:rFonts w:cs="Arial"/>
          <w:color w:val="000000"/>
          <w:szCs w:val="22"/>
        </w:rPr>
        <w:t>s size adjustment return on equity adder is based on estimates made by Duff &amp; Phelps</w:t>
      </w:r>
      <w:r>
        <w:rPr>
          <w:rFonts w:cs="Arial"/>
          <w:color w:val="000000"/>
          <w:szCs w:val="22"/>
        </w:rPr>
        <w:t>’</w:t>
      </w:r>
      <w:r w:rsidRPr="002C207B">
        <w:rPr>
          <w:rFonts w:cs="Arial"/>
          <w:color w:val="000000"/>
          <w:szCs w:val="22"/>
        </w:rPr>
        <w:t xml:space="preserve"> </w:t>
      </w:r>
      <w:r w:rsidRPr="002C207B">
        <w:rPr>
          <w:rFonts w:cs="Arial"/>
          <w:i/>
          <w:color w:val="000000"/>
          <w:szCs w:val="22"/>
        </w:rPr>
        <w:t>Cost of Capital Navigator</w:t>
      </w:r>
      <w:r w:rsidRPr="002C207B">
        <w:rPr>
          <w:rFonts w:cs="Arial"/>
          <w:color w:val="000000"/>
          <w:szCs w:val="22"/>
        </w:rPr>
        <w:t xml:space="preserve">.  Duff &amp; Phelps estimates various size adjustments based on differentials in beta estimates tied to the size of a company.  Ms. Nelson determines that </w:t>
      </w:r>
      <w:proofErr w:type="spellStart"/>
      <w:r>
        <w:rPr>
          <w:rFonts w:cs="Arial"/>
          <w:color w:val="000000"/>
          <w:szCs w:val="22"/>
        </w:rPr>
        <w:t>EPE</w:t>
      </w:r>
      <w:proofErr w:type="spellEnd"/>
      <w:r w:rsidRPr="002C207B">
        <w:rPr>
          <w:rFonts w:cs="Arial"/>
          <w:color w:val="000000"/>
          <w:szCs w:val="22"/>
        </w:rPr>
        <w:t xml:space="preserve"> falls in Duff &amp; Phelps </w:t>
      </w:r>
      <w:r>
        <w:rPr>
          <w:rFonts w:cs="Arial"/>
          <w:color w:val="000000"/>
          <w:szCs w:val="22"/>
        </w:rPr>
        <w:t>6</w:t>
      </w:r>
      <w:r w:rsidRPr="002C207B">
        <w:rPr>
          <w:rFonts w:cs="Arial"/>
          <w:color w:val="000000"/>
          <w:szCs w:val="22"/>
          <w:vertAlign w:val="superscript"/>
        </w:rPr>
        <w:t>th</w:t>
      </w:r>
      <w:r w:rsidRPr="002C207B">
        <w:rPr>
          <w:rFonts w:cs="Arial"/>
          <w:color w:val="000000"/>
          <w:szCs w:val="22"/>
        </w:rPr>
        <w:t xml:space="preserve"> Decile, which warrants a size adjustment of </w:t>
      </w:r>
      <w:r>
        <w:rPr>
          <w:rFonts w:cs="Arial"/>
          <w:color w:val="000000"/>
          <w:szCs w:val="22"/>
        </w:rPr>
        <w:t>137</w:t>
      </w:r>
      <w:r w:rsidRPr="002C207B">
        <w:rPr>
          <w:rFonts w:cs="Arial"/>
          <w:color w:val="000000"/>
          <w:szCs w:val="22"/>
        </w:rPr>
        <w:t xml:space="preserve"> basis points.  Similarly, on Exhibit JEN-7 of her direct testimony she notes that the capitalization of the companies included in her proxy group fall</w:t>
      </w:r>
      <w:r w:rsidR="00EC3411">
        <w:rPr>
          <w:rFonts w:cs="Arial"/>
          <w:color w:val="000000"/>
          <w:szCs w:val="22"/>
        </w:rPr>
        <w:t>s</w:t>
      </w:r>
      <w:r w:rsidRPr="002C207B">
        <w:rPr>
          <w:rFonts w:cs="Arial"/>
          <w:color w:val="000000"/>
          <w:szCs w:val="22"/>
        </w:rPr>
        <w:t xml:space="preserve"> in the </w:t>
      </w:r>
      <w:r>
        <w:rPr>
          <w:rFonts w:cs="Arial"/>
          <w:color w:val="000000"/>
          <w:szCs w:val="22"/>
        </w:rPr>
        <w:t>3</w:t>
      </w:r>
      <w:r>
        <w:rPr>
          <w:rFonts w:cs="Arial"/>
          <w:color w:val="000000"/>
          <w:szCs w:val="22"/>
          <w:vertAlign w:val="superscript"/>
        </w:rPr>
        <w:t>rd</w:t>
      </w:r>
      <w:r w:rsidRPr="002C207B">
        <w:rPr>
          <w:rFonts w:cs="Arial"/>
          <w:color w:val="000000"/>
          <w:szCs w:val="22"/>
        </w:rPr>
        <w:t xml:space="preserve"> Decile, which warrants a size adjustment of </w:t>
      </w:r>
      <w:r>
        <w:rPr>
          <w:rFonts w:cs="Arial"/>
          <w:color w:val="000000"/>
          <w:szCs w:val="22"/>
        </w:rPr>
        <w:t>71</w:t>
      </w:r>
      <w:r w:rsidRPr="002C207B">
        <w:rPr>
          <w:rFonts w:cs="Arial"/>
          <w:color w:val="000000"/>
          <w:szCs w:val="22"/>
        </w:rPr>
        <w:t xml:space="preserve"> basis points.  She</w:t>
      </w:r>
      <w:r w:rsidR="00ED3CCF">
        <w:rPr>
          <w:rFonts w:cs="Arial"/>
          <w:color w:val="000000"/>
          <w:szCs w:val="22"/>
        </w:rPr>
        <w:t xml:space="preserve"> c</w:t>
      </w:r>
      <w:r w:rsidRPr="002C207B">
        <w:rPr>
          <w:rFonts w:cs="Arial"/>
          <w:color w:val="000000"/>
          <w:szCs w:val="22"/>
        </w:rPr>
        <w:t xml:space="preserve">oncluded that the appropriate size adjustment is the difference between these two size </w:t>
      </w:r>
      <w:proofErr w:type="spellStart"/>
      <w:r w:rsidRPr="002C207B">
        <w:rPr>
          <w:rFonts w:cs="Arial"/>
          <w:color w:val="000000"/>
          <w:szCs w:val="22"/>
        </w:rPr>
        <w:t>premia</w:t>
      </w:r>
      <w:proofErr w:type="spellEnd"/>
      <w:r w:rsidRPr="002C207B">
        <w:rPr>
          <w:rFonts w:cs="Arial"/>
          <w:color w:val="000000"/>
          <w:szCs w:val="22"/>
        </w:rPr>
        <w:t xml:space="preserve"> of </w:t>
      </w:r>
      <w:r>
        <w:rPr>
          <w:rFonts w:cs="Arial"/>
          <w:color w:val="000000"/>
          <w:szCs w:val="22"/>
        </w:rPr>
        <w:t>66</w:t>
      </w:r>
      <w:r w:rsidRPr="002C207B">
        <w:rPr>
          <w:rFonts w:cs="Arial"/>
          <w:color w:val="000000"/>
          <w:szCs w:val="22"/>
        </w:rPr>
        <w:t xml:space="preserve"> basis points.</w:t>
      </w:r>
      <w:r>
        <w:rPr>
          <w:rFonts w:cs="Arial"/>
          <w:color w:val="000000"/>
          <w:szCs w:val="22"/>
          <w:vertAlign w:val="superscript"/>
        </w:rPr>
        <w:footnoteReference w:id="67"/>
      </w:r>
    </w:p>
    <w:p w14:paraId="3924E2E0" w14:textId="29BCCA94" w:rsidR="00C86197" w:rsidRPr="002C207B" w:rsidRDefault="00C86197" w:rsidP="00ED3CCF">
      <w:pPr>
        <w:tabs>
          <w:tab w:val="left" w:pos="-1440"/>
          <w:tab w:val="left" w:pos="1440"/>
        </w:tabs>
        <w:autoSpaceDE w:val="0"/>
        <w:autoSpaceDN w:val="0"/>
        <w:spacing w:line="480" w:lineRule="auto"/>
        <w:ind w:left="720" w:hanging="720"/>
        <w:jc w:val="both"/>
        <w:rPr>
          <w:rFonts w:cs="Arial"/>
          <w:color w:val="000000"/>
          <w:szCs w:val="22"/>
        </w:rPr>
      </w:pPr>
      <w:r>
        <w:rPr>
          <w:rFonts w:cs="Arial"/>
          <w:szCs w:val="22"/>
        </w:rPr>
        <w:tab/>
      </w:r>
      <w:r>
        <w:rPr>
          <w:rFonts w:cs="Arial"/>
          <w:szCs w:val="22"/>
        </w:rPr>
        <w:tab/>
        <w:t>Ms. Nelson developed a similar analysis b</w:t>
      </w:r>
      <w:r w:rsidR="00EC3411">
        <w:rPr>
          <w:rFonts w:cs="Arial"/>
          <w:szCs w:val="22"/>
        </w:rPr>
        <w:t>ased on her hypothetical total C</w:t>
      </w:r>
      <w:r>
        <w:rPr>
          <w:rFonts w:cs="Arial"/>
          <w:szCs w:val="22"/>
        </w:rPr>
        <w:t>ompany capitalization of $2,471.15 million and concluded that an appropriate size adjustment is approximately 38 basis points.</w:t>
      </w:r>
      <w:r>
        <w:rPr>
          <w:rStyle w:val="FootnoteReference"/>
          <w:rFonts w:cs="Arial"/>
          <w:szCs w:val="22"/>
        </w:rPr>
        <w:footnoteReference w:id="68"/>
      </w:r>
    </w:p>
    <w:p w14:paraId="520BD991" w14:textId="77777777" w:rsidR="00685365" w:rsidRPr="002C207B" w:rsidRDefault="00685365" w:rsidP="00ED3CCF">
      <w:pPr>
        <w:tabs>
          <w:tab w:val="left" w:pos="-1440"/>
          <w:tab w:val="left" w:pos="1440"/>
        </w:tabs>
        <w:autoSpaceDE w:val="0"/>
        <w:autoSpaceDN w:val="0"/>
        <w:spacing w:line="480" w:lineRule="auto"/>
        <w:ind w:left="720" w:hanging="720"/>
        <w:jc w:val="both"/>
        <w:rPr>
          <w:rFonts w:cs="Arial"/>
          <w:color w:val="000000"/>
          <w:szCs w:val="22"/>
        </w:rPr>
      </w:pPr>
      <w:r w:rsidRPr="002C207B">
        <w:rPr>
          <w:rFonts w:cs="Arial"/>
          <w:szCs w:val="22"/>
        </w:rPr>
        <w:tab/>
      </w:r>
      <w:r w:rsidRPr="002C207B">
        <w:rPr>
          <w:rFonts w:cs="Arial"/>
          <w:szCs w:val="22"/>
        </w:rPr>
        <w:tab/>
        <w:t>Ms.</w:t>
      </w:r>
      <w:r w:rsidRPr="002C207B">
        <w:rPr>
          <w:rFonts w:cs="Arial"/>
          <w:color w:val="000000"/>
          <w:szCs w:val="22"/>
        </w:rPr>
        <w:t xml:space="preserve"> Nelson does not propose a specific size adjustment but she considers it in determining the appropriate return for </w:t>
      </w:r>
      <w:proofErr w:type="spellStart"/>
      <w:r>
        <w:rPr>
          <w:rFonts w:cs="Arial"/>
          <w:color w:val="000000"/>
          <w:szCs w:val="22"/>
        </w:rPr>
        <w:t>EPE</w:t>
      </w:r>
      <w:proofErr w:type="spellEnd"/>
      <w:r w:rsidRPr="002C207B">
        <w:rPr>
          <w:rFonts w:cs="Arial"/>
          <w:color w:val="000000"/>
          <w:szCs w:val="22"/>
        </w:rPr>
        <w:t>.</w:t>
      </w:r>
      <w:r>
        <w:rPr>
          <w:rFonts w:cs="Arial"/>
          <w:color w:val="000000"/>
          <w:szCs w:val="22"/>
          <w:vertAlign w:val="superscript"/>
        </w:rPr>
        <w:footnoteReference w:id="69"/>
      </w:r>
    </w:p>
    <w:p w14:paraId="2D527A49" w14:textId="77777777" w:rsidR="00685365" w:rsidRPr="002C207B" w:rsidRDefault="00685365" w:rsidP="00685365">
      <w:pPr>
        <w:keepNext/>
        <w:autoSpaceDE w:val="0"/>
        <w:autoSpaceDN w:val="0"/>
        <w:spacing w:line="480" w:lineRule="auto"/>
        <w:ind w:left="720" w:hanging="720"/>
        <w:jc w:val="both"/>
        <w:rPr>
          <w:rFonts w:cs="Arial"/>
          <w:b/>
          <w:color w:val="000000"/>
          <w:szCs w:val="22"/>
        </w:rPr>
      </w:pPr>
      <w:r w:rsidRPr="002C207B">
        <w:rPr>
          <w:rFonts w:cs="Arial"/>
          <w:b/>
          <w:color w:val="000000"/>
          <w:szCs w:val="22"/>
        </w:rPr>
        <w:lastRenderedPageBreak/>
        <w:t>Q</w:t>
      </w:r>
      <w:r w:rsidRPr="002C207B">
        <w:rPr>
          <w:rFonts w:cs="Arial"/>
          <w:b/>
          <w:color w:val="000000"/>
          <w:szCs w:val="22"/>
        </w:rPr>
        <w:tab/>
        <w:t>DO YOU FIND MS. NELSON</w:t>
      </w:r>
      <w:r>
        <w:rPr>
          <w:rFonts w:cs="Arial"/>
          <w:b/>
          <w:color w:val="000000"/>
          <w:szCs w:val="22"/>
        </w:rPr>
        <w:t>’</w:t>
      </w:r>
      <w:r w:rsidRPr="002C207B">
        <w:rPr>
          <w:rFonts w:cs="Arial"/>
          <w:b/>
          <w:color w:val="000000"/>
          <w:szCs w:val="22"/>
        </w:rPr>
        <w:t>S SIZE ADJUSTMENT REASONABLE?</w:t>
      </w:r>
    </w:p>
    <w:p w14:paraId="502A14CA" w14:textId="4E70C260" w:rsidR="00685365" w:rsidRPr="00A03FCA" w:rsidRDefault="00685365" w:rsidP="00685365">
      <w:pPr>
        <w:autoSpaceDE w:val="0"/>
        <w:autoSpaceDN w:val="0"/>
        <w:spacing w:line="480" w:lineRule="auto"/>
        <w:ind w:left="720" w:hanging="720"/>
        <w:jc w:val="both"/>
        <w:rPr>
          <w:rFonts w:cs="Arial"/>
          <w:color w:val="000000"/>
          <w:szCs w:val="22"/>
        </w:rPr>
      </w:pPr>
      <w:r w:rsidRPr="002C207B">
        <w:rPr>
          <w:rFonts w:cs="Arial"/>
          <w:szCs w:val="22"/>
        </w:rPr>
        <w:t>A</w:t>
      </w:r>
      <w:r w:rsidRPr="002C207B">
        <w:rPr>
          <w:rFonts w:cs="Arial"/>
          <w:b/>
          <w:color w:val="000000"/>
          <w:szCs w:val="22"/>
        </w:rPr>
        <w:tab/>
      </w:r>
      <w:r w:rsidRPr="002C207B">
        <w:rPr>
          <w:rFonts w:cs="Arial"/>
          <w:color w:val="000000"/>
          <w:szCs w:val="22"/>
        </w:rPr>
        <w:t>No.</w:t>
      </w:r>
      <w:r w:rsidRPr="002C207B">
        <w:rPr>
          <w:rFonts w:cs="Arial"/>
          <w:b/>
          <w:color w:val="000000"/>
          <w:szCs w:val="22"/>
        </w:rPr>
        <w:t xml:space="preserve">  </w:t>
      </w:r>
      <w:r w:rsidRPr="002C207B">
        <w:rPr>
          <w:rFonts w:cs="Arial"/>
          <w:color w:val="000000"/>
          <w:szCs w:val="22"/>
        </w:rPr>
        <w:t>There are several problems with this size adjustment.  First, Ms. Nelson applied a size adjustment without even considering the average capitalization of her proxy group relative to the capitalization</w:t>
      </w:r>
      <w:r>
        <w:rPr>
          <w:rFonts w:cs="Arial"/>
          <w:color w:val="000000"/>
          <w:szCs w:val="22"/>
        </w:rPr>
        <w:t xml:space="preserve"> structure which supports </w:t>
      </w:r>
      <w:proofErr w:type="spellStart"/>
      <w:r>
        <w:rPr>
          <w:rFonts w:cs="Arial"/>
          <w:color w:val="000000"/>
          <w:szCs w:val="22"/>
        </w:rPr>
        <w:t>EPE</w:t>
      </w:r>
      <w:proofErr w:type="spellEnd"/>
      <w:r>
        <w:rPr>
          <w:rFonts w:cs="Arial"/>
          <w:color w:val="000000"/>
          <w:szCs w:val="22"/>
        </w:rPr>
        <w:t xml:space="preserve">.  </w:t>
      </w:r>
      <w:proofErr w:type="spellStart"/>
      <w:r>
        <w:rPr>
          <w:rFonts w:cs="Arial"/>
          <w:color w:val="000000"/>
          <w:szCs w:val="22"/>
        </w:rPr>
        <w:t>EPE</w:t>
      </w:r>
      <w:proofErr w:type="spellEnd"/>
      <w:r>
        <w:rPr>
          <w:rFonts w:cs="Arial"/>
          <w:color w:val="000000"/>
          <w:szCs w:val="22"/>
        </w:rPr>
        <w:t xml:space="preserve"> is</w:t>
      </w:r>
      <w:r w:rsidRPr="00A03FCA">
        <w:rPr>
          <w:rFonts w:cs="Arial"/>
          <w:szCs w:val="22"/>
        </w:rPr>
        <w:t xml:space="preserve"> a wholly-owned subsidiary of Sun Jupiter Holdings LLC (</w:t>
      </w:r>
      <w:r>
        <w:rPr>
          <w:rFonts w:cs="Arial"/>
          <w:szCs w:val="22"/>
        </w:rPr>
        <w:t>“</w:t>
      </w:r>
      <w:r w:rsidRPr="00A03FCA">
        <w:rPr>
          <w:rFonts w:cs="Arial"/>
          <w:szCs w:val="22"/>
        </w:rPr>
        <w:t>Sun Jupiter</w:t>
      </w:r>
      <w:r>
        <w:rPr>
          <w:rFonts w:cs="Arial"/>
          <w:szCs w:val="22"/>
        </w:rPr>
        <w:t>”</w:t>
      </w:r>
      <w:r w:rsidRPr="00A03FCA">
        <w:rPr>
          <w:rFonts w:cs="Arial"/>
          <w:szCs w:val="22"/>
        </w:rPr>
        <w:t>), an affiliate of the Infrastructure Investments Fund</w:t>
      </w:r>
      <w:r>
        <w:rPr>
          <w:rFonts w:cs="Arial"/>
          <w:szCs w:val="22"/>
        </w:rPr>
        <w:t xml:space="preserve"> (“</w:t>
      </w:r>
      <w:proofErr w:type="spellStart"/>
      <w:r>
        <w:rPr>
          <w:rFonts w:cs="Arial"/>
          <w:szCs w:val="22"/>
        </w:rPr>
        <w:t>IIF</w:t>
      </w:r>
      <w:proofErr w:type="spellEnd"/>
      <w:r>
        <w:rPr>
          <w:rFonts w:cs="Arial"/>
          <w:szCs w:val="22"/>
        </w:rPr>
        <w:t>”)</w:t>
      </w:r>
      <w:r w:rsidRPr="00A03FCA">
        <w:rPr>
          <w:rFonts w:cs="Arial"/>
          <w:szCs w:val="22"/>
        </w:rPr>
        <w:t>, a private investmen</w:t>
      </w:r>
      <w:r>
        <w:rPr>
          <w:rFonts w:cs="Arial"/>
          <w:szCs w:val="22"/>
        </w:rPr>
        <w:t>t vehicle advised by an</w:t>
      </w:r>
      <w:r w:rsidRPr="00A03FCA">
        <w:rPr>
          <w:rFonts w:cs="Arial"/>
          <w:szCs w:val="22"/>
        </w:rPr>
        <w:t xml:space="preserve"> infrastructure investment group within J.P. Morgan Investment M</w:t>
      </w:r>
      <w:r>
        <w:rPr>
          <w:rFonts w:cs="Arial"/>
          <w:szCs w:val="22"/>
        </w:rPr>
        <w:t>anagement Inc</w:t>
      </w:r>
      <w:r w:rsidRPr="00A03FCA">
        <w:rPr>
          <w:rFonts w:cs="Arial"/>
          <w:szCs w:val="22"/>
        </w:rPr>
        <w:t>.</w:t>
      </w:r>
      <w:r w:rsidRPr="002C207B">
        <w:rPr>
          <w:rFonts w:cs="Arial"/>
          <w:color w:val="000000"/>
          <w:szCs w:val="22"/>
        </w:rPr>
        <w:t xml:space="preserve"> </w:t>
      </w:r>
      <w:r w:rsidR="00EC3411">
        <w:rPr>
          <w:rFonts w:cs="Arial"/>
          <w:color w:val="000000"/>
          <w:szCs w:val="22"/>
        </w:rPr>
        <w:t xml:space="preserve"> </w:t>
      </w:r>
      <w:r w:rsidRPr="002C207B">
        <w:rPr>
          <w:rFonts w:cs="Arial"/>
          <w:color w:val="000000"/>
          <w:szCs w:val="22"/>
        </w:rPr>
        <w:t>A</w:t>
      </w:r>
      <w:r w:rsidRPr="002C207B">
        <w:rPr>
          <w:rFonts w:cs="Arial"/>
          <w:szCs w:val="22"/>
        </w:rPr>
        <w:t xml:space="preserve"> return on equity adder is not justified in the way performed by Ms. Nelson</w:t>
      </w:r>
      <w:r>
        <w:rPr>
          <w:rFonts w:cs="Arial"/>
          <w:szCs w:val="22"/>
        </w:rPr>
        <w:t xml:space="preserve">, because she has not accurately measured the corporate structure which owns </w:t>
      </w:r>
      <w:proofErr w:type="spellStart"/>
      <w:r>
        <w:rPr>
          <w:rFonts w:cs="Arial"/>
          <w:szCs w:val="22"/>
        </w:rPr>
        <w:t>EPE</w:t>
      </w:r>
      <w:proofErr w:type="spellEnd"/>
      <w:r w:rsidRPr="002C207B">
        <w:rPr>
          <w:rFonts w:cs="Arial"/>
          <w:szCs w:val="22"/>
        </w:rPr>
        <w:t xml:space="preserve">.  </w:t>
      </w:r>
      <w:r>
        <w:rPr>
          <w:rFonts w:cs="Arial"/>
          <w:szCs w:val="22"/>
        </w:rPr>
        <w:t>Importantly, as discussed above</w:t>
      </w:r>
      <w:r w:rsidR="00EC3411">
        <w:rPr>
          <w:rFonts w:cs="Arial"/>
          <w:szCs w:val="22"/>
        </w:rPr>
        <w:t>, the size-</w:t>
      </w:r>
      <w:r>
        <w:rPr>
          <w:rFonts w:cs="Arial"/>
          <w:szCs w:val="22"/>
        </w:rPr>
        <w:t>specific risk is already incorporated in the Company’s credit rating</w:t>
      </w:r>
      <w:r w:rsidRPr="002C207B">
        <w:rPr>
          <w:rFonts w:cs="Arial"/>
          <w:color w:val="000000"/>
          <w:szCs w:val="22"/>
        </w:rPr>
        <w:t xml:space="preserve"> and should be rejected.  </w:t>
      </w:r>
      <w:bookmarkStart w:id="108" w:name="_Toc63936878"/>
    </w:p>
    <w:p w14:paraId="796C7427" w14:textId="77777777" w:rsidR="00685365" w:rsidRPr="007114B7" w:rsidRDefault="00685365" w:rsidP="00685365">
      <w:pPr>
        <w:suppressLineNumbers/>
        <w:spacing w:line="480" w:lineRule="auto"/>
        <w:ind w:left="720" w:hanging="720"/>
        <w:jc w:val="both"/>
        <w:rPr>
          <w:color w:val="000000"/>
        </w:rPr>
      </w:pPr>
    </w:p>
    <w:p w14:paraId="50B0F627" w14:textId="77777777" w:rsidR="00685365" w:rsidRPr="002C207B" w:rsidRDefault="00685365" w:rsidP="00685365">
      <w:pPr>
        <w:pStyle w:val="Heading2"/>
      </w:pPr>
      <w:bookmarkStart w:id="109" w:name="_Toc85028745"/>
      <w:r>
        <w:t>V.</w:t>
      </w:r>
      <w:r w:rsidRPr="002C207B">
        <w:t>F.2.  Capital Market Conditions</w:t>
      </w:r>
      <w:bookmarkEnd w:id="108"/>
      <w:bookmarkEnd w:id="109"/>
    </w:p>
    <w:p w14:paraId="2FE004EB" w14:textId="77777777" w:rsidR="00685365" w:rsidRPr="002C207B" w:rsidRDefault="00685365" w:rsidP="00685365">
      <w:pPr>
        <w:spacing w:line="480" w:lineRule="auto"/>
        <w:ind w:left="720" w:hanging="720"/>
        <w:jc w:val="both"/>
        <w:rPr>
          <w:rFonts w:cs="Arial"/>
          <w:b/>
          <w:bCs/>
          <w:caps/>
          <w:szCs w:val="22"/>
        </w:rPr>
      </w:pPr>
      <w:r w:rsidRPr="002C207B">
        <w:rPr>
          <w:rFonts w:cs="Arial"/>
          <w:b/>
          <w:bCs/>
          <w:caps/>
          <w:szCs w:val="22"/>
        </w:rPr>
        <w:t>Q</w:t>
      </w:r>
      <w:r w:rsidRPr="002C207B">
        <w:rPr>
          <w:rFonts w:cs="Arial"/>
          <w:b/>
          <w:bCs/>
          <w:caps/>
          <w:szCs w:val="22"/>
        </w:rPr>
        <w:tab/>
        <w:t>DID MS. NELSON ALSO OFFER AN ASSESSMENT OF CURRENT MARKET CONDITIONS IN SUPPORT OF HER RECOMMENDED RETURN ON EQUITY RANGE?</w:t>
      </w:r>
    </w:p>
    <w:p w14:paraId="4029818A" w14:textId="77777777" w:rsidR="00685365" w:rsidRPr="002C207B" w:rsidRDefault="00685365" w:rsidP="00685365">
      <w:pPr>
        <w:tabs>
          <w:tab w:val="left" w:pos="720"/>
        </w:tabs>
        <w:overflowPunct w:val="0"/>
        <w:autoSpaceDE w:val="0"/>
        <w:autoSpaceDN w:val="0"/>
        <w:adjustRightInd w:val="0"/>
        <w:spacing w:line="480" w:lineRule="auto"/>
        <w:ind w:left="720" w:hanging="720"/>
        <w:jc w:val="both"/>
        <w:textAlignment w:val="baseline"/>
        <w:rPr>
          <w:rFonts w:cs="Arial"/>
          <w:szCs w:val="22"/>
        </w:rPr>
      </w:pPr>
      <w:r w:rsidRPr="002C207B">
        <w:rPr>
          <w:rFonts w:cs="Arial"/>
          <w:szCs w:val="22"/>
        </w:rPr>
        <w:t>A</w:t>
      </w:r>
      <w:r w:rsidRPr="002C207B">
        <w:rPr>
          <w:rFonts w:cs="Arial"/>
          <w:szCs w:val="22"/>
        </w:rPr>
        <w:tab/>
        <w:t>Yes.  Ms. Nelson observes the market volatility levels as measured by the Chicago Board of Exchange (</w:t>
      </w:r>
      <w:r>
        <w:rPr>
          <w:rFonts w:cs="Arial"/>
          <w:szCs w:val="22"/>
        </w:rPr>
        <w:t>“</w:t>
      </w:r>
      <w:r w:rsidRPr="002C207B">
        <w:rPr>
          <w:rFonts w:cs="Arial"/>
          <w:szCs w:val="22"/>
        </w:rPr>
        <w:t>CBOE</w:t>
      </w:r>
      <w:r>
        <w:rPr>
          <w:rFonts w:cs="Arial"/>
          <w:szCs w:val="22"/>
        </w:rPr>
        <w:t>”</w:t>
      </w:r>
      <w:r w:rsidRPr="002C207B">
        <w:rPr>
          <w:rFonts w:cs="Arial"/>
          <w:szCs w:val="22"/>
        </w:rPr>
        <w:t>), Implied Volatility Index (</w:t>
      </w:r>
      <w:r>
        <w:rPr>
          <w:rFonts w:cs="Arial"/>
          <w:szCs w:val="22"/>
        </w:rPr>
        <w:t>“</w:t>
      </w:r>
      <w:proofErr w:type="spellStart"/>
      <w:r w:rsidRPr="002C207B">
        <w:rPr>
          <w:rFonts w:cs="Arial"/>
          <w:szCs w:val="22"/>
        </w:rPr>
        <w:t>VIX</w:t>
      </w:r>
      <w:proofErr w:type="spellEnd"/>
      <w:r>
        <w:rPr>
          <w:rFonts w:cs="Arial"/>
          <w:szCs w:val="22"/>
        </w:rPr>
        <w:t>’</w:t>
      </w:r>
      <w:r w:rsidRPr="002C207B">
        <w:rPr>
          <w:rFonts w:cs="Arial"/>
          <w:szCs w:val="22"/>
        </w:rPr>
        <w:t>) and its impact on interest rates and expected returns.</w:t>
      </w:r>
      <w:r>
        <w:rPr>
          <w:rFonts w:cs="Arial"/>
          <w:szCs w:val="22"/>
          <w:vertAlign w:val="superscript"/>
        </w:rPr>
        <w:footnoteReference w:id="70"/>
      </w:r>
      <w:r w:rsidRPr="002C207B">
        <w:rPr>
          <w:rFonts w:cs="Arial"/>
          <w:szCs w:val="22"/>
        </w:rPr>
        <w:t xml:space="preserve">  Specifically, Ms. Nelson also states that the market volatility as measured by the </w:t>
      </w:r>
      <w:proofErr w:type="spellStart"/>
      <w:r w:rsidRPr="002C207B">
        <w:rPr>
          <w:rFonts w:cs="Arial"/>
          <w:szCs w:val="22"/>
        </w:rPr>
        <w:t>VIX</w:t>
      </w:r>
      <w:proofErr w:type="spellEnd"/>
      <w:r w:rsidRPr="002C207B">
        <w:rPr>
          <w:rFonts w:cs="Arial"/>
          <w:szCs w:val="22"/>
        </w:rPr>
        <w:t>, which generally tracks broader market equity security values, has increased relative to historical standards and it is expected to remain elevated.</w:t>
      </w:r>
      <w:r>
        <w:rPr>
          <w:rFonts w:cs="Arial"/>
          <w:szCs w:val="22"/>
          <w:vertAlign w:val="superscript"/>
        </w:rPr>
        <w:footnoteReference w:id="71"/>
      </w:r>
      <w:r w:rsidRPr="002C207B">
        <w:rPr>
          <w:rFonts w:cs="Arial"/>
          <w:szCs w:val="22"/>
        </w:rPr>
        <w:t xml:space="preserve">  She concludes that due to this increased volatility utility investors face greater risks and require higher returns.</w:t>
      </w:r>
    </w:p>
    <w:p w14:paraId="135B60A1" w14:textId="77777777" w:rsidR="00685365" w:rsidRPr="002C207B" w:rsidRDefault="00685365" w:rsidP="00685365">
      <w:pPr>
        <w:suppressLineNumbers/>
        <w:spacing w:line="480" w:lineRule="auto"/>
        <w:ind w:left="720" w:hanging="720"/>
        <w:jc w:val="both"/>
        <w:rPr>
          <w:rFonts w:cs="Arial"/>
          <w:caps/>
          <w:szCs w:val="22"/>
        </w:rPr>
      </w:pPr>
    </w:p>
    <w:p w14:paraId="3396BDA1" w14:textId="77777777" w:rsidR="00685365" w:rsidRPr="002C207B" w:rsidRDefault="00685365" w:rsidP="00685365">
      <w:pPr>
        <w:keepNext/>
        <w:keepLines/>
        <w:tabs>
          <w:tab w:val="left" w:pos="1440"/>
          <w:tab w:val="left" w:pos="5472"/>
        </w:tabs>
        <w:autoSpaceDE w:val="0"/>
        <w:autoSpaceDN w:val="0"/>
        <w:spacing w:line="480" w:lineRule="auto"/>
        <w:ind w:left="720" w:hanging="720"/>
        <w:jc w:val="both"/>
        <w:rPr>
          <w:rFonts w:cs="Arial"/>
          <w:szCs w:val="22"/>
        </w:rPr>
      </w:pPr>
      <w:r w:rsidRPr="002C207B">
        <w:rPr>
          <w:rFonts w:cs="Arial"/>
          <w:b/>
          <w:szCs w:val="22"/>
        </w:rPr>
        <w:lastRenderedPageBreak/>
        <w:t>Q</w:t>
      </w:r>
      <w:r w:rsidRPr="002C207B">
        <w:rPr>
          <w:rFonts w:cs="Arial"/>
          <w:b/>
          <w:szCs w:val="22"/>
        </w:rPr>
        <w:tab/>
        <w:t xml:space="preserve">IS THE </w:t>
      </w:r>
      <w:proofErr w:type="spellStart"/>
      <w:r w:rsidRPr="002C207B">
        <w:rPr>
          <w:rFonts w:cs="Arial"/>
          <w:b/>
          <w:szCs w:val="22"/>
        </w:rPr>
        <w:t>VIX</w:t>
      </w:r>
      <w:proofErr w:type="spellEnd"/>
      <w:r w:rsidRPr="002C207B">
        <w:rPr>
          <w:rFonts w:cs="Arial"/>
          <w:b/>
          <w:szCs w:val="22"/>
        </w:rPr>
        <w:t xml:space="preserve"> INDEX ADEQUATE TO SUPPORT THE NOTION THAT THE MARKET PERCEPTION OF THE INVESTMENT RISK OF </w:t>
      </w:r>
      <w:proofErr w:type="spellStart"/>
      <w:r>
        <w:rPr>
          <w:rFonts w:cs="Arial"/>
          <w:b/>
          <w:szCs w:val="22"/>
        </w:rPr>
        <w:t>EPE</w:t>
      </w:r>
      <w:proofErr w:type="spellEnd"/>
      <w:r w:rsidRPr="002C207B">
        <w:rPr>
          <w:rFonts w:cs="Arial"/>
          <w:b/>
          <w:szCs w:val="22"/>
        </w:rPr>
        <w:t xml:space="preserve"> OR UTILITIES GENERALLY IS INCREASING?</w:t>
      </w:r>
    </w:p>
    <w:p w14:paraId="38F5ABB8" w14:textId="558197BF" w:rsidR="00685365" w:rsidRDefault="00685365" w:rsidP="00685365">
      <w:pPr>
        <w:tabs>
          <w:tab w:val="left" w:pos="1440"/>
          <w:tab w:val="left" w:pos="5472"/>
        </w:tabs>
        <w:autoSpaceDE w:val="0"/>
        <w:autoSpaceDN w:val="0"/>
        <w:spacing w:line="480" w:lineRule="auto"/>
        <w:ind w:left="720" w:hanging="720"/>
        <w:jc w:val="both"/>
        <w:rPr>
          <w:rFonts w:cs="Arial"/>
          <w:szCs w:val="22"/>
        </w:rPr>
      </w:pPr>
      <w:r w:rsidRPr="002C207B">
        <w:rPr>
          <w:rFonts w:cs="Arial"/>
          <w:szCs w:val="22"/>
        </w:rPr>
        <w:t>A</w:t>
      </w:r>
      <w:r w:rsidRPr="002C207B">
        <w:rPr>
          <w:rFonts w:cs="Arial"/>
          <w:szCs w:val="22"/>
        </w:rPr>
        <w:tab/>
        <w:t xml:space="preserve">No.  </w:t>
      </w:r>
      <w:r>
        <w:rPr>
          <w:rFonts w:cs="Arial"/>
          <w:szCs w:val="22"/>
        </w:rPr>
        <w:t>First, t</w:t>
      </w:r>
      <w:r w:rsidRPr="002C207B">
        <w:rPr>
          <w:rFonts w:cs="Arial"/>
          <w:szCs w:val="22"/>
        </w:rPr>
        <w:t xml:space="preserve">he </w:t>
      </w:r>
      <w:proofErr w:type="spellStart"/>
      <w:r w:rsidRPr="002C207B">
        <w:rPr>
          <w:rFonts w:cs="Arial"/>
          <w:szCs w:val="22"/>
        </w:rPr>
        <w:t>VIX</w:t>
      </w:r>
      <w:proofErr w:type="spellEnd"/>
      <w:r w:rsidRPr="002C207B">
        <w:rPr>
          <w:rFonts w:cs="Arial"/>
          <w:szCs w:val="22"/>
        </w:rPr>
        <w:t xml:space="preserve"> is a broader-based market index of stock price volatility, and not that of subgroups within the market generally, and certainly not applicable to the utility subsector.  Utility securities are generally regarded as </w:t>
      </w:r>
      <w:r>
        <w:rPr>
          <w:rFonts w:cs="Arial"/>
          <w:szCs w:val="22"/>
        </w:rPr>
        <w:t>defensive stocks</w:t>
      </w:r>
      <w:r w:rsidRPr="002C207B">
        <w:rPr>
          <w:rFonts w:cs="Arial"/>
          <w:szCs w:val="22"/>
        </w:rPr>
        <w:t xml:space="preserve">, and the market generally flocks to low-risk sectors during periods of broader economic distress.  The </w:t>
      </w:r>
      <w:proofErr w:type="spellStart"/>
      <w:r w:rsidRPr="002C207B">
        <w:rPr>
          <w:rFonts w:cs="Arial"/>
          <w:szCs w:val="22"/>
        </w:rPr>
        <w:t>VIX</w:t>
      </w:r>
      <w:proofErr w:type="spellEnd"/>
      <w:r w:rsidRPr="002C207B">
        <w:rPr>
          <w:rFonts w:cs="Arial"/>
          <w:szCs w:val="22"/>
        </w:rPr>
        <w:t xml:space="preserve"> index may indicate greater risk in the overall market but that does not indicate a similar change in investment risk for lower-risk regulated utility companies.</w:t>
      </w:r>
      <w:r>
        <w:rPr>
          <w:rFonts w:cs="Arial"/>
          <w:szCs w:val="22"/>
        </w:rPr>
        <w:t xml:space="preserve">  Second, </w:t>
      </w:r>
      <w:r w:rsidR="00EC3411">
        <w:rPr>
          <w:rFonts w:cs="Arial"/>
          <w:szCs w:val="22"/>
        </w:rPr>
        <w:t xml:space="preserve">the </w:t>
      </w:r>
      <w:proofErr w:type="spellStart"/>
      <w:r>
        <w:rPr>
          <w:rFonts w:cs="Arial"/>
          <w:szCs w:val="22"/>
        </w:rPr>
        <w:t>VIX</w:t>
      </w:r>
      <w:proofErr w:type="spellEnd"/>
      <w:r>
        <w:rPr>
          <w:rFonts w:cs="Arial"/>
          <w:szCs w:val="22"/>
        </w:rPr>
        <w:t xml:space="preserve"> is a measure of 30-day expected volatility, which is a relatively short-term estimate and it does not represent the volatility level effective during the period rates determined in this regulatory proceeding.</w:t>
      </w:r>
    </w:p>
    <w:p w14:paraId="43C990B4" w14:textId="77777777" w:rsidR="00685365" w:rsidRPr="007114B7" w:rsidRDefault="00685365" w:rsidP="00685365">
      <w:pPr>
        <w:suppressLineNumbers/>
        <w:spacing w:line="480" w:lineRule="auto"/>
        <w:ind w:left="720" w:hanging="720"/>
        <w:jc w:val="both"/>
        <w:rPr>
          <w:color w:val="000000"/>
        </w:rPr>
      </w:pPr>
    </w:p>
    <w:p w14:paraId="26C12195" w14:textId="77777777" w:rsidR="00685365" w:rsidRPr="007114B7" w:rsidRDefault="00685365" w:rsidP="00685365">
      <w:pPr>
        <w:keepNext/>
        <w:spacing w:line="480" w:lineRule="auto"/>
        <w:ind w:left="720" w:hanging="720"/>
        <w:jc w:val="both"/>
        <w:rPr>
          <w:rFonts w:cs="Arial"/>
          <w:b/>
          <w:bCs/>
          <w:caps/>
          <w:szCs w:val="22"/>
        </w:rPr>
      </w:pPr>
      <w:r w:rsidRPr="007114B7">
        <w:rPr>
          <w:rFonts w:cs="Arial"/>
          <w:b/>
          <w:bCs/>
          <w:caps/>
          <w:szCs w:val="22"/>
        </w:rPr>
        <w:t>Q</w:t>
      </w:r>
      <w:r>
        <w:rPr>
          <w:rFonts w:cs="Arial"/>
          <w:b/>
          <w:bCs/>
          <w:caps/>
          <w:szCs w:val="22"/>
        </w:rPr>
        <w:tab/>
        <w:t>DO YOU BELIEVE THAT MS. Nelson’</w:t>
      </w:r>
      <w:r w:rsidRPr="007114B7">
        <w:rPr>
          <w:rFonts w:cs="Arial"/>
          <w:b/>
          <w:bCs/>
          <w:caps/>
          <w:szCs w:val="22"/>
        </w:rPr>
        <w:t xml:space="preserve">S USE OF THESE MARKET SENTIMENTS SUPPORTS HER FINDINGS THAT </w:t>
      </w:r>
      <w:proofErr w:type="spellStart"/>
      <w:r>
        <w:rPr>
          <w:rFonts w:cs="Arial"/>
          <w:b/>
          <w:bCs/>
          <w:caps/>
          <w:szCs w:val="22"/>
        </w:rPr>
        <w:t>EPE’</w:t>
      </w:r>
      <w:r w:rsidRPr="007114B7">
        <w:rPr>
          <w:rFonts w:cs="Arial"/>
          <w:b/>
          <w:bCs/>
          <w:caps/>
          <w:szCs w:val="22"/>
        </w:rPr>
        <w:t>S</w:t>
      </w:r>
      <w:proofErr w:type="spellEnd"/>
      <w:r w:rsidRPr="007114B7">
        <w:rPr>
          <w:rFonts w:cs="Arial"/>
          <w:b/>
          <w:bCs/>
          <w:caps/>
          <w:szCs w:val="22"/>
        </w:rPr>
        <w:t xml:space="preserve"> MARKET COST O</w:t>
      </w:r>
      <w:r>
        <w:rPr>
          <w:rFonts w:cs="Arial"/>
          <w:b/>
          <w:bCs/>
          <w:caps/>
          <w:szCs w:val="22"/>
        </w:rPr>
        <w:t>F EQUITY IS CURRENTLY 10.3</w:t>
      </w:r>
      <w:r w:rsidRPr="007114B7">
        <w:rPr>
          <w:rFonts w:cs="Arial"/>
          <w:b/>
          <w:bCs/>
          <w:caps/>
          <w:szCs w:val="22"/>
        </w:rPr>
        <w:t>0%?</w:t>
      </w:r>
    </w:p>
    <w:p w14:paraId="5A3222F3" w14:textId="77777777" w:rsidR="00685365" w:rsidRPr="007114B7" w:rsidRDefault="00685365" w:rsidP="00685365">
      <w:pPr>
        <w:tabs>
          <w:tab w:val="left" w:pos="720"/>
        </w:tabs>
        <w:spacing w:line="480" w:lineRule="auto"/>
        <w:ind w:left="720" w:hanging="720"/>
        <w:jc w:val="both"/>
        <w:rPr>
          <w:rFonts w:cs="Arial"/>
          <w:szCs w:val="22"/>
        </w:rPr>
      </w:pPr>
      <w:r w:rsidRPr="007114B7">
        <w:rPr>
          <w:rFonts w:cs="Arial"/>
          <w:szCs w:val="22"/>
        </w:rPr>
        <w:t>A</w:t>
      </w:r>
      <w:r w:rsidRPr="007114B7">
        <w:rPr>
          <w:rFonts w:cs="Arial"/>
          <w:szCs w:val="22"/>
        </w:rPr>
        <w:tab/>
        <w:t>No.</w:t>
      </w:r>
      <w:r>
        <w:rPr>
          <w:rFonts w:cs="Arial"/>
          <w:szCs w:val="22"/>
        </w:rPr>
        <w:t xml:space="preserve">  In many instances, Ms. Nelson’</w:t>
      </w:r>
      <w:r w:rsidRPr="007114B7">
        <w:rPr>
          <w:rFonts w:cs="Arial"/>
          <w:szCs w:val="22"/>
        </w:rPr>
        <w:t>s analysis simply ignores market sentiments favorable toward utility companies and instead lumps utility investments in with general corporate investments.  A fair analysis of utility securities shows the market generally regards utility securities as low-risk investment instruments and supports the finding that utilities</w:t>
      </w:r>
      <w:r>
        <w:rPr>
          <w:rFonts w:cs="Arial"/>
          <w:szCs w:val="22"/>
        </w:rPr>
        <w:t>’</w:t>
      </w:r>
      <w:r w:rsidRPr="007114B7">
        <w:rPr>
          <w:rFonts w:cs="Arial"/>
          <w:szCs w:val="22"/>
        </w:rPr>
        <w:t xml:space="preserve"> cost of capital is very low in today</w:t>
      </w:r>
      <w:r>
        <w:rPr>
          <w:rFonts w:cs="Arial"/>
          <w:szCs w:val="22"/>
        </w:rPr>
        <w:t>’</w:t>
      </w:r>
      <w:r w:rsidRPr="007114B7">
        <w:rPr>
          <w:rFonts w:cs="Arial"/>
          <w:szCs w:val="22"/>
        </w:rPr>
        <w:t>s marketplace.</w:t>
      </w:r>
    </w:p>
    <w:p w14:paraId="5073AB9A" w14:textId="77777777" w:rsidR="00685365" w:rsidRPr="007114B7" w:rsidRDefault="00685365" w:rsidP="00685365">
      <w:pPr>
        <w:suppressLineNumbers/>
        <w:spacing w:line="480" w:lineRule="auto"/>
        <w:ind w:left="720" w:hanging="720"/>
        <w:jc w:val="both"/>
        <w:rPr>
          <w:rFonts w:cs="Arial"/>
          <w:caps/>
          <w:szCs w:val="22"/>
        </w:rPr>
      </w:pPr>
    </w:p>
    <w:p w14:paraId="008B1F4C" w14:textId="77777777" w:rsidR="00685365" w:rsidRPr="007114B7" w:rsidRDefault="00685365" w:rsidP="00685365">
      <w:pPr>
        <w:spacing w:line="480" w:lineRule="auto"/>
        <w:ind w:left="720" w:hanging="720"/>
        <w:jc w:val="both"/>
        <w:rPr>
          <w:rFonts w:cs="Arial"/>
          <w:b/>
          <w:bCs/>
          <w:caps/>
          <w:szCs w:val="22"/>
        </w:rPr>
      </w:pPr>
      <w:r w:rsidRPr="007114B7">
        <w:rPr>
          <w:rFonts w:cs="Arial"/>
          <w:b/>
          <w:bCs/>
          <w:caps/>
          <w:szCs w:val="22"/>
        </w:rPr>
        <w:t>Q</w:t>
      </w:r>
      <w:r w:rsidRPr="007114B7">
        <w:rPr>
          <w:rFonts w:cs="Arial"/>
          <w:b/>
          <w:bCs/>
          <w:caps/>
          <w:szCs w:val="22"/>
        </w:rPr>
        <w:tab/>
        <w:t>WHAT IS THE MARKET SENTIMENT FOR UTILITY INVESTMENTS?</w:t>
      </w:r>
    </w:p>
    <w:p w14:paraId="743C4CBF" w14:textId="77777777" w:rsidR="00685365" w:rsidRPr="007114B7" w:rsidRDefault="00685365" w:rsidP="00685365">
      <w:pPr>
        <w:tabs>
          <w:tab w:val="left" w:pos="720"/>
        </w:tabs>
        <w:spacing w:line="480" w:lineRule="auto"/>
        <w:ind w:left="720" w:hanging="720"/>
        <w:jc w:val="both"/>
        <w:rPr>
          <w:rFonts w:cs="Arial"/>
          <w:szCs w:val="22"/>
        </w:rPr>
      </w:pPr>
      <w:r w:rsidRPr="007114B7">
        <w:rPr>
          <w:rFonts w:cs="Arial"/>
          <w:szCs w:val="22"/>
        </w:rPr>
        <w:t>A</w:t>
      </w:r>
      <w:r w:rsidRPr="007114B7">
        <w:rPr>
          <w:rFonts w:cs="Arial"/>
          <w:szCs w:val="22"/>
        </w:rPr>
        <w:tab/>
        <w:t xml:space="preserve">Again, the current market sentiment toward utility investments, rather than just general corporate investments, is that the market is placing high value on utility securities, recognizing their low risk and stable characteristics.  This is illustrated by current utility </w:t>
      </w:r>
      <w:r w:rsidRPr="007114B7">
        <w:rPr>
          <w:rFonts w:cs="Arial"/>
          <w:szCs w:val="22"/>
        </w:rPr>
        <w:lastRenderedPageBreak/>
        <w:t>bond yield spreads as discussed at length previously.  The current strong utility bond valuation is an indication of the market</w:t>
      </w:r>
      <w:r>
        <w:rPr>
          <w:rFonts w:cs="Arial"/>
          <w:szCs w:val="22"/>
        </w:rPr>
        <w:t>’</w:t>
      </w:r>
      <w:r w:rsidRPr="007114B7">
        <w:rPr>
          <w:rFonts w:cs="Arial"/>
          <w:szCs w:val="22"/>
        </w:rPr>
        <w:t xml:space="preserve">s sentiment that utility bonds are lower risk and are generally regarded as a defensive stocks by the investment industry.  </w:t>
      </w:r>
    </w:p>
    <w:p w14:paraId="485926AF" w14:textId="77777777" w:rsidR="00685365" w:rsidRPr="007114B7" w:rsidRDefault="00685365" w:rsidP="00685365">
      <w:pPr>
        <w:tabs>
          <w:tab w:val="left" w:pos="720"/>
        </w:tabs>
        <w:spacing w:line="480" w:lineRule="auto"/>
        <w:ind w:left="720" w:hanging="720"/>
        <w:jc w:val="both"/>
        <w:rPr>
          <w:rFonts w:cs="Arial"/>
          <w:szCs w:val="22"/>
        </w:rPr>
      </w:pPr>
      <w:r w:rsidRPr="007114B7">
        <w:rPr>
          <w:rFonts w:cs="Arial"/>
          <w:szCs w:val="22"/>
        </w:rPr>
        <w:tab/>
      </w:r>
      <w:r w:rsidRPr="007114B7">
        <w:rPr>
          <w:rFonts w:cs="Arial"/>
          <w:szCs w:val="22"/>
        </w:rPr>
        <w:tab/>
        <w:t xml:space="preserve">Further, other measures of utility stock valuations also support the conclusion that there is a robust market for utility stocks.  As shown on my </w:t>
      </w:r>
      <w:r w:rsidRPr="00E92E03">
        <w:rPr>
          <w:rFonts w:cs="Arial"/>
          <w:szCs w:val="22"/>
        </w:rPr>
        <w:t>Exhibit MPG-2</w:t>
      </w:r>
      <w:r w:rsidRPr="007114B7">
        <w:rPr>
          <w:rFonts w:cs="Arial"/>
          <w:szCs w:val="22"/>
        </w:rPr>
        <w:t>, financial valuation measures (</w:t>
      </w:r>
      <w:r w:rsidRPr="007114B7">
        <w:rPr>
          <w:rFonts w:cs="Arial"/>
          <w:i/>
          <w:szCs w:val="22"/>
        </w:rPr>
        <w:t>e.g.</w:t>
      </w:r>
      <w:r w:rsidRPr="007114B7">
        <w:rPr>
          <w:rFonts w:cs="Arial"/>
          <w:szCs w:val="22"/>
        </w:rPr>
        <w:t xml:space="preserve">, P/E ratio and market price to cash flow ratio) show that utility stock valuation measures are robust.  </w:t>
      </w:r>
    </w:p>
    <w:p w14:paraId="1F2DF127" w14:textId="77777777" w:rsidR="00685365" w:rsidRPr="002C207B" w:rsidRDefault="00685365" w:rsidP="00685365">
      <w:pPr>
        <w:spacing w:line="480" w:lineRule="auto"/>
        <w:ind w:left="720" w:hanging="720"/>
        <w:jc w:val="both"/>
        <w:rPr>
          <w:rFonts w:cs="Arial"/>
          <w:szCs w:val="22"/>
        </w:rPr>
      </w:pPr>
      <w:r w:rsidRPr="007114B7">
        <w:rPr>
          <w:rFonts w:cs="Arial"/>
          <w:szCs w:val="22"/>
        </w:rPr>
        <w:tab/>
      </w:r>
      <w:r w:rsidRPr="007114B7">
        <w:rPr>
          <w:rFonts w:cs="Arial"/>
          <w:szCs w:val="22"/>
        </w:rPr>
        <w:tab/>
        <w:t>For all these reasons, direct assessments of valuation measures and market sentiment toward utility securities support the credit rating agencies</w:t>
      </w:r>
      <w:r>
        <w:rPr>
          <w:rFonts w:cs="Arial"/>
          <w:szCs w:val="22"/>
        </w:rPr>
        <w:t>’</w:t>
      </w:r>
      <w:r w:rsidRPr="007114B7">
        <w:rPr>
          <w:rFonts w:cs="Arial"/>
          <w:szCs w:val="22"/>
        </w:rPr>
        <w:t xml:space="preserve"> findings, as quoted above, that the utility industry is largely regarded as a low-risk, safe haven investment.  All of this supports my finding that utilities</w:t>
      </w:r>
      <w:r>
        <w:rPr>
          <w:rFonts w:cs="Arial"/>
          <w:szCs w:val="22"/>
        </w:rPr>
        <w:t>’</w:t>
      </w:r>
      <w:r w:rsidRPr="007114B7">
        <w:rPr>
          <w:rFonts w:cs="Arial"/>
          <w:szCs w:val="22"/>
        </w:rPr>
        <w:t xml:space="preserve"> market cost of equity is very low in today</w:t>
      </w:r>
      <w:r>
        <w:rPr>
          <w:rFonts w:cs="Arial"/>
          <w:szCs w:val="22"/>
        </w:rPr>
        <w:t>’</w:t>
      </w:r>
      <w:r w:rsidRPr="007114B7">
        <w:rPr>
          <w:rFonts w:cs="Arial"/>
          <w:szCs w:val="22"/>
        </w:rPr>
        <w:t>s very low-co</w:t>
      </w:r>
      <w:r>
        <w:rPr>
          <w:rFonts w:cs="Arial"/>
          <w:szCs w:val="22"/>
        </w:rPr>
        <w:t xml:space="preserve">st capital market environment. </w:t>
      </w:r>
    </w:p>
    <w:p w14:paraId="40891606" w14:textId="77777777" w:rsidR="00685365" w:rsidRPr="00ED4C86" w:rsidRDefault="00685365" w:rsidP="00685365">
      <w:pPr>
        <w:suppressLineNumbers/>
        <w:spacing w:line="480" w:lineRule="auto"/>
        <w:jc w:val="both"/>
      </w:pPr>
    </w:p>
    <w:p w14:paraId="661EA823" w14:textId="77777777" w:rsidR="00685365" w:rsidRPr="00ED4C86" w:rsidRDefault="00685365" w:rsidP="00685365">
      <w:pPr>
        <w:keepNext/>
        <w:tabs>
          <w:tab w:val="left" w:pos="1440"/>
          <w:tab w:val="left" w:pos="5472"/>
        </w:tabs>
        <w:spacing w:line="480" w:lineRule="auto"/>
        <w:ind w:left="720" w:hanging="720"/>
        <w:jc w:val="both"/>
        <w:rPr>
          <w:rFonts w:cs="Arial"/>
          <w:szCs w:val="22"/>
        </w:rPr>
      </w:pPr>
      <w:r w:rsidRPr="00ED4C86">
        <w:rPr>
          <w:rFonts w:cs="Arial"/>
          <w:b/>
          <w:szCs w:val="22"/>
        </w:rPr>
        <w:t>Q</w:t>
      </w:r>
      <w:r w:rsidRPr="00ED4C86">
        <w:rPr>
          <w:rFonts w:cs="Arial"/>
          <w:b/>
          <w:szCs w:val="22"/>
        </w:rPr>
        <w:tab/>
        <w:t>DOES THIS CONCLUDE YOUR DIRECT TESTIMONY?</w:t>
      </w:r>
    </w:p>
    <w:p w14:paraId="5B648452" w14:textId="4E92BEE2" w:rsidR="001D1D4A" w:rsidRPr="001D1D4A" w:rsidRDefault="00685365" w:rsidP="001D1D4A">
      <w:pPr>
        <w:tabs>
          <w:tab w:val="left" w:pos="1440"/>
          <w:tab w:val="left" w:pos="5472"/>
        </w:tabs>
        <w:spacing w:line="480" w:lineRule="auto"/>
        <w:ind w:left="720" w:hanging="720"/>
        <w:jc w:val="both"/>
        <w:rPr>
          <w:rFonts w:cs="Arial"/>
          <w:szCs w:val="22"/>
        </w:rPr>
        <w:sectPr w:rsidR="001D1D4A" w:rsidRPr="001D1D4A">
          <w:headerReference w:type="default" r:id="rId32"/>
          <w:type w:val="continuous"/>
          <w:pgSz w:w="12240" w:h="15840" w:code="1"/>
          <w:pgMar w:top="1440" w:right="1440" w:bottom="1440" w:left="1728" w:header="576" w:footer="576" w:gutter="0"/>
          <w:lnNumType w:countBy="1"/>
          <w:cols w:space="720"/>
          <w:docGrid w:linePitch="299"/>
        </w:sectPr>
      </w:pPr>
      <w:r w:rsidRPr="00ED4C86">
        <w:rPr>
          <w:rFonts w:cs="Arial"/>
          <w:szCs w:val="22"/>
        </w:rPr>
        <w:t>A</w:t>
      </w:r>
      <w:r w:rsidRPr="00ED4C86">
        <w:rPr>
          <w:rFonts w:cs="Arial"/>
          <w:szCs w:val="22"/>
        </w:rPr>
        <w:tab/>
        <w:t>Yes, it does.</w:t>
      </w:r>
    </w:p>
    <w:p w14:paraId="467CC08D" w14:textId="66EADE71" w:rsidR="001D1D4A" w:rsidRDefault="001D1D4A" w:rsidP="001D1D4A">
      <w:pPr>
        <w:suppressLineNumbers/>
        <w:tabs>
          <w:tab w:val="left" w:pos="5472"/>
        </w:tabs>
        <w:jc w:val="both"/>
        <w:rPr>
          <w:rFonts w:cs="Arial"/>
          <w:b/>
          <w:szCs w:val="22"/>
        </w:rPr>
        <w:sectPr w:rsidR="001D1D4A" w:rsidSect="001D1D4A">
          <w:pgSz w:w="12240" w:h="15840" w:code="1"/>
          <w:pgMar w:top="1440" w:right="1440" w:bottom="1440" w:left="1728" w:header="576" w:footer="576" w:gutter="0"/>
          <w:lnNumType w:countBy="1"/>
          <w:cols w:space="720"/>
          <w:docGrid w:linePitch="299"/>
        </w:sectPr>
      </w:pPr>
    </w:p>
    <w:p w14:paraId="704E5E7D" w14:textId="77777777" w:rsidR="00685365" w:rsidRPr="008F7F75" w:rsidRDefault="00685365" w:rsidP="001D1D4A">
      <w:pPr>
        <w:suppressLineNumbers/>
        <w:jc w:val="center"/>
        <w:rPr>
          <w:b/>
          <w:sz w:val="24"/>
          <w:u w:val="single"/>
        </w:rPr>
      </w:pPr>
      <w:r w:rsidRPr="008F7F75">
        <w:rPr>
          <w:b/>
          <w:sz w:val="24"/>
          <w:u w:val="single"/>
        </w:rPr>
        <w:t>Qualifications of Michael P. Gorman</w:t>
      </w:r>
    </w:p>
    <w:p w14:paraId="098BCC09" w14:textId="77777777" w:rsidR="00685365" w:rsidRDefault="00685365" w:rsidP="001D1D4A">
      <w:pPr>
        <w:suppressLineNumbers/>
        <w:ind w:left="720" w:hanging="720"/>
        <w:jc w:val="both"/>
        <w:rPr>
          <w:b/>
          <w:bCs/>
          <w:sz w:val="24"/>
          <w:u w:val="single"/>
        </w:rPr>
      </w:pPr>
    </w:p>
    <w:p w14:paraId="531F3B07" w14:textId="77777777" w:rsidR="00685365" w:rsidRDefault="00685365" w:rsidP="001D1D4A">
      <w:pPr>
        <w:suppressLineNumbers/>
        <w:ind w:left="720" w:hanging="720"/>
        <w:jc w:val="both"/>
        <w:rPr>
          <w:b/>
          <w:bCs/>
          <w:sz w:val="24"/>
          <w:u w:val="single"/>
        </w:rPr>
      </w:pPr>
    </w:p>
    <w:p w14:paraId="70285980" w14:textId="77777777" w:rsidR="00685365" w:rsidRPr="00066136" w:rsidRDefault="00685365" w:rsidP="00685365">
      <w:pPr>
        <w:tabs>
          <w:tab w:val="left" w:pos="720"/>
        </w:tabs>
        <w:spacing w:line="480" w:lineRule="auto"/>
        <w:ind w:left="720" w:hanging="720"/>
        <w:jc w:val="both"/>
        <w:rPr>
          <w:b/>
          <w:bCs/>
          <w:szCs w:val="22"/>
        </w:rPr>
      </w:pPr>
      <w:r w:rsidRPr="00066136">
        <w:rPr>
          <w:b/>
          <w:bCs/>
          <w:szCs w:val="22"/>
        </w:rPr>
        <w:t>Q</w:t>
      </w:r>
      <w:r w:rsidRPr="00066136">
        <w:rPr>
          <w:b/>
          <w:bCs/>
          <w:szCs w:val="22"/>
        </w:rPr>
        <w:tab/>
        <w:t xml:space="preserve">PLEASE STATE YOUR NAME AND BUSINESS ADDRESS.   </w:t>
      </w:r>
    </w:p>
    <w:p w14:paraId="56FE7B29" w14:textId="77777777" w:rsidR="00685365" w:rsidRPr="00066136" w:rsidRDefault="00685365" w:rsidP="00685365">
      <w:pPr>
        <w:pStyle w:val="BodyTextIndent3"/>
        <w:rPr>
          <w:rFonts w:cs="Arial"/>
          <w:b w:val="0"/>
          <w:szCs w:val="22"/>
        </w:rPr>
      </w:pPr>
      <w:r w:rsidRPr="00066136">
        <w:rPr>
          <w:rFonts w:cs="Arial"/>
          <w:b w:val="0"/>
          <w:szCs w:val="22"/>
        </w:rPr>
        <w:t>A</w:t>
      </w:r>
      <w:r w:rsidRPr="00066136">
        <w:rPr>
          <w:rFonts w:cs="Arial"/>
          <w:b w:val="0"/>
          <w:szCs w:val="22"/>
        </w:rPr>
        <w:tab/>
        <w:t xml:space="preserve">Michael P. Gorman.  My business address is </w:t>
      </w:r>
      <w:r w:rsidRPr="00066136">
        <w:rPr>
          <w:b w:val="0"/>
          <w:szCs w:val="22"/>
        </w:rPr>
        <w:t xml:space="preserve">16690 </w:t>
      </w:r>
      <w:proofErr w:type="spellStart"/>
      <w:r w:rsidRPr="00066136">
        <w:rPr>
          <w:b w:val="0"/>
          <w:szCs w:val="22"/>
        </w:rPr>
        <w:t>Swingley</w:t>
      </w:r>
      <w:proofErr w:type="spellEnd"/>
      <w:r w:rsidRPr="00066136">
        <w:rPr>
          <w:b w:val="0"/>
          <w:szCs w:val="22"/>
        </w:rPr>
        <w:t xml:space="preserve"> Ridge Road, Suite 140, Chesterfield, MO 63017</w:t>
      </w:r>
      <w:r w:rsidRPr="00066136">
        <w:rPr>
          <w:rFonts w:cs="Arial"/>
          <w:b w:val="0"/>
          <w:szCs w:val="22"/>
        </w:rPr>
        <w:t>.</w:t>
      </w:r>
    </w:p>
    <w:p w14:paraId="7BC7B0E1" w14:textId="77777777" w:rsidR="00685365" w:rsidRPr="00D20EDF" w:rsidRDefault="00685365" w:rsidP="00685365">
      <w:pPr>
        <w:suppressLineNumbers/>
        <w:spacing w:line="480" w:lineRule="auto"/>
        <w:ind w:left="720" w:hanging="720"/>
        <w:jc w:val="both"/>
        <w:rPr>
          <w:szCs w:val="22"/>
        </w:rPr>
      </w:pPr>
    </w:p>
    <w:p w14:paraId="36D9918A" w14:textId="77777777" w:rsidR="00685365" w:rsidRPr="00066136" w:rsidRDefault="00685365" w:rsidP="00685365">
      <w:pPr>
        <w:tabs>
          <w:tab w:val="left" w:pos="720"/>
        </w:tabs>
        <w:spacing w:line="480" w:lineRule="auto"/>
        <w:ind w:left="720" w:hanging="720"/>
        <w:jc w:val="both"/>
        <w:rPr>
          <w:b/>
          <w:bCs/>
          <w:szCs w:val="22"/>
        </w:rPr>
      </w:pPr>
      <w:r w:rsidRPr="00066136">
        <w:rPr>
          <w:b/>
          <w:bCs/>
          <w:szCs w:val="22"/>
        </w:rPr>
        <w:t>Q</w:t>
      </w:r>
      <w:r w:rsidRPr="00066136">
        <w:rPr>
          <w:b/>
          <w:bCs/>
          <w:szCs w:val="22"/>
        </w:rPr>
        <w:tab/>
        <w:t>PLEASE STATE YOUR OCCUPATION.</w:t>
      </w:r>
    </w:p>
    <w:p w14:paraId="53B120E4" w14:textId="77777777" w:rsidR="00685365" w:rsidRPr="00D20EDF" w:rsidRDefault="00685365" w:rsidP="00685365">
      <w:pPr>
        <w:tabs>
          <w:tab w:val="left" w:pos="720"/>
        </w:tabs>
        <w:spacing w:line="480" w:lineRule="auto"/>
        <w:ind w:left="720" w:hanging="720"/>
        <w:jc w:val="both"/>
        <w:rPr>
          <w:szCs w:val="22"/>
        </w:rPr>
      </w:pPr>
      <w:r w:rsidRPr="00D20EDF">
        <w:rPr>
          <w:szCs w:val="22"/>
        </w:rPr>
        <w:t>A</w:t>
      </w:r>
      <w:r w:rsidRPr="00D20EDF">
        <w:rPr>
          <w:szCs w:val="22"/>
        </w:rPr>
        <w:tab/>
      </w:r>
      <w:r>
        <w:t>I am a consultant in the field of public utility regulation and a Managing Principal with the firm of Brubaker &amp; Associates, Inc. (“BAI”), energy, economic and regulatory consultants.</w:t>
      </w:r>
    </w:p>
    <w:p w14:paraId="4D47A8CA" w14:textId="77777777" w:rsidR="00685365" w:rsidRPr="00D20EDF" w:rsidRDefault="00685365" w:rsidP="00685365">
      <w:pPr>
        <w:suppressLineNumbers/>
        <w:spacing w:line="480" w:lineRule="auto"/>
        <w:ind w:left="720" w:hanging="720"/>
        <w:jc w:val="both"/>
        <w:rPr>
          <w:szCs w:val="22"/>
        </w:rPr>
      </w:pPr>
    </w:p>
    <w:p w14:paraId="51231EAE" w14:textId="77777777" w:rsidR="00685365" w:rsidRPr="00D20EDF" w:rsidRDefault="00685365" w:rsidP="00685365">
      <w:pPr>
        <w:tabs>
          <w:tab w:val="left" w:pos="720"/>
        </w:tabs>
        <w:spacing w:line="480" w:lineRule="auto"/>
        <w:ind w:left="720" w:hanging="720"/>
        <w:jc w:val="both"/>
        <w:rPr>
          <w:b/>
          <w:bCs/>
          <w:szCs w:val="22"/>
        </w:rPr>
      </w:pPr>
      <w:r w:rsidRPr="00D20EDF">
        <w:rPr>
          <w:b/>
          <w:bCs/>
          <w:szCs w:val="22"/>
        </w:rPr>
        <w:t>Q</w:t>
      </w:r>
      <w:r w:rsidRPr="00D20EDF">
        <w:rPr>
          <w:b/>
          <w:bCs/>
          <w:szCs w:val="22"/>
        </w:rPr>
        <w:tab/>
        <w:t>PLEASE SUMMARIZE YOUR EDUCATIONAL BACKGROUND AND WORK EXPERIENCE.</w:t>
      </w:r>
    </w:p>
    <w:p w14:paraId="4B5CD61F" w14:textId="77777777" w:rsidR="00685365" w:rsidRPr="00D20EDF" w:rsidRDefault="00685365" w:rsidP="00685365">
      <w:pPr>
        <w:tabs>
          <w:tab w:val="left" w:pos="720"/>
        </w:tabs>
        <w:spacing w:line="480" w:lineRule="auto"/>
        <w:ind w:left="720" w:hanging="720"/>
        <w:jc w:val="both"/>
        <w:rPr>
          <w:szCs w:val="22"/>
        </w:rPr>
      </w:pPr>
      <w:r w:rsidRPr="00D20EDF">
        <w:rPr>
          <w:szCs w:val="22"/>
        </w:rPr>
        <w:t>A</w:t>
      </w:r>
      <w:r w:rsidRPr="00D20EDF">
        <w:rPr>
          <w:szCs w:val="22"/>
        </w:rPr>
        <w:tab/>
        <w:t>In 1983 I received a Bachelor of Science Degree in Electrical Engineering from Southern Illinois University, and in 1986, I received a Master</w:t>
      </w:r>
      <w:r>
        <w:rPr>
          <w:szCs w:val="22"/>
        </w:rPr>
        <w:t>’</w:t>
      </w:r>
      <w:r w:rsidRPr="00D20EDF">
        <w:rPr>
          <w:szCs w:val="22"/>
        </w:rPr>
        <w:t>s Degree in Business Administration with a concentration in Finance from the University of Illinois at Springfield.  I have also completed several graduate level economics courses.</w:t>
      </w:r>
    </w:p>
    <w:p w14:paraId="438F4618" w14:textId="77777777" w:rsidR="00685365" w:rsidRPr="00066136" w:rsidRDefault="00685365" w:rsidP="00685365">
      <w:pPr>
        <w:spacing w:line="480" w:lineRule="auto"/>
        <w:ind w:left="720" w:hanging="720"/>
        <w:jc w:val="both"/>
        <w:rPr>
          <w:szCs w:val="22"/>
        </w:rPr>
      </w:pPr>
      <w:r w:rsidRPr="00D20EDF">
        <w:rPr>
          <w:szCs w:val="22"/>
        </w:rPr>
        <w:tab/>
      </w:r>
      <w:r w:rsidRPr="00D20EDF">
        <w:rPr>
          <w:szCs w:val="22"/>
        </w:rPr>
        <w:tab/>
        <w:t>In August of 1983, I accepted an analyst position with the Illinois Commerce Commission (</w:t>
      </w:r>
      <w:r>
        <w:rPr>
          <w:szCs w:val="22"/>
        </w:rPr>
        <w:t>“</w:t>
      </w:r>
      <w:r w:rsidRPr="00D20EDF">
        <w:rPr>
          <w:szCs w:val="22"/>
        </w:rPr>
        <w:t>ICC</w:t>
      </w:r>
      <w:r>
        <w:rPr>
          <w:szCs w:val="22"/>
        </w:rPr>
        <w:t>”</w:t>
      </w:r>
      <w:r w:rsidRPr="00D20EDF">
        <w:rPr>
          <w:szCs w:val="22"/>
        </w:rPr>
        <w:t xml:space="preserve">).  In this position, I performed a variety of analyses for both formal and informal investigations before the ICC, including:  marginal cost of energy, central dispatch, avoided cost of energy, annual system production costs, and working capital.  In October of 1986, I was promoted to the position of Senior Analyst.  In this position, I assumed the additional responsibilities of technical leader on projects, and my areas of responsibility were expanded to include utility financial modeling and financial </w:t>
      </w:r>
      <w:r w:rsidRPr="00066136">
        <w:rPr>
          <w:szCs w:val="22"/>
        </w:rPr>
        <w:t xml:space="preserve">analyses. </w:t>
      </w:r>
    </w:p>
    <w:p w14:paraId="6A80D099" w14:textId="77777777" w:rsidR="00685365" w:rsidRPr="00066136" w:rsidRDefault="00685365" w:rsidP="00685365">
      <w:pPr>
        <w:pStyle w:val="BodyTextIndent3"/>
        <w:rPr>
          <w:b w:val="0"/>
        </w:rPr>
      </w:pPr>
      <w:r w:rsidRPr="00066136">
        <w:rPr>
          <w:b w:val="0"/>
        </w:rPr>
        <w:lastRenderedPageBreak/>
        <w:tab/>
      </w:r>
      <w:r w:rsidRPr="00066136">
        <w:rPr>
          <w:b w:val="0"/>
        </w:rPr>
        <w:tab/>
        <w:t>In 1987, I was promoted to Director of the Financial Analysis Department.  In this position, I was responsible for all financial analyses conducted by the Staff.  Among other things, I conducted analyses and sponsored testimony before the ICC on rate of return, financial integrity, financial modeling and related issues.  I also supervised the development of all Staff analyses and testimony on these same issues.  In addition, I supervised the Staff</w:t>
      </w:r>
      <w:r>
        <w:rPr>
          <w:b w:val="0"/>
        </w:rPr>
        <w:t>’</w:t>
      </w:r>
      <w:r w:rsidRPr="00066136">
        <w:rPr>
          <w:b w:val="0"/>
        </w:rPr>
        <w:t>s review and recommendations to the Commission concerning utility plans to issue debt and equity securities.</w:t>
      </w:r>
    </w:p>
    <w:p w14:paraId="6ACF5B2A" w14:textId="77777777" w:rsidR="00685365" w:rsidRPr="00D20EDF" w:rsidRDefault="00685365" w:rsidP="00685365">
      <w:pPr>
        <w:spacing w:line="480" w:lineRule="auto"/>
        <w:ind w:left="720" w:hanging="720"/>
        <w:jc w:val="both"/>
        <w:rPr>
          <w:szCs w:val="22"/>
        </w:rPr>
      </w:pPr>
      <w:r w:rsidRPr="00D20EDF">
        <w:rPr>
          <w:szCs w:val="22"/>
        </w:rPr>
        <w:tab/>
      </w:r>
      <w:r w:rsidRPr="00D20EDF">
        <w:rPr>
          <w:szCs w:val="22"/>
        </w:rPr>
        <w:tab/>
        <w:t>In August of 1989, I accepted a position with Merrill-Lynch as a financial consultant.  After receiving all required securities licenses, I worked with individual investors and small businesses in evaluating and selecting investments suitable to their requirements.</w:t>
      </w:r>
    </w:p>
    <w:p w14:paraId="2FE95571" w14:textId="77777777" w:rsidR="00685365" w:rsidRPr="00D20EDF" w:rsidRDefault="00685365" w:rsidP="00685365">
      <w:pPr>
        <w:spacing w:line="480" w:lineRule="auto"/>
        <w:ind w:left="720" w:hanging="720"/>
        <w:jc w:val="both"/>
        <w:rPr>
          <w:szCs w:val="22"/>
        </w:rPr>
      </w:pPr>
      <w:r w:rsidRPr="00D20EDF">
        <w:rPr>
          <w:szCs w:val="22"/>
        </w:rPr>
        <w:tab/>
      </w:r>
      <w:r w:rsidRPr="00D20EDF">
        <w:rPr>
          <w:szCs w:val="22"/>
        </w:rPr>
        <w:tab/>
        <w:t xml:space="preserve">In September of 1990, I accepted a position with </w:t>
      </w:r>
      <w:proofErr w:type="spellStart"/>
      <w:r w:rsidRPr="00D20EDF">
        <w:rPr>
          <w:szCs w:val="22"/>
        </w:rPr>
        <w:t>Drazen</w:t>
      </w:r>
      <w:proofErr w:type="spellEnd"/>
      <w:r w:rsidRPr="00D20EDF">
        <w:rPr>
          <w:szCs w:val="22"/>
        </w:rPr>
        <w:t>-Brubaker &amp; Associates, Inc.</w:t>
      </w:r>
      <w:r>
        <w:rPr>
          <w:szCs w:val="22"/>
        </w:rPr>
        <w:t xml:space="preserve"> (“DBA”).</w:t>
      </w:r>
      <w:r w:rsidRPr="00D20EDF">
        <w:rPr>
          <w:szCs w:val="22"/>
        </w:rPr>
        <w:t xml:space="preserve">  In April 1995</w:t>
      </w:r>
      <w:r>
        <w:rPr>
          <w:szCs w:val="22"/>
        </w:rPr>
        <w:t xml:space="preserve">, </w:t>
      </w:r>
      <w:r w:rsidRPr="00D20EDF">
        <w:rPr>
          <w:szCs w:val="22"/>
        </w:rPr>
        <w:t xml:space="preserve">the firm of </w:t>
      </w:r>
      <w:r>
        <w:rPr>
          <w:szCs w:val="22"/>
        </w:rPr>
        <w:t xml:space="preserve">Brubaker &amp; Associates, Inc. </w:t>
      </w:r>
      <w:r w:rsidRPr="00D20EDF">
        <w:rPr>
          <w:szCs w:val="22"/>
        </w:rPr>
        <w:t>was formed.  It includes most of the former DBA principals and Staff.  Since 1990, I have performed various analyses and sponsored testimony on cost of capital, cost/benefits of utility mergers and acquisitions, utility reorganizations, level of operating expenses and rate base, cost of service studies, and analyses relating</w:t>
      </w:r>
      <w:r>
        <w:rPr>
          <w:szCs w:val="22"/>
        </w:rPr>
        <w:t xml:space="preserve"> to</w:t>
      </w:r>
      <w:r w:rsidRPr="00D20EDF">
        <w:rPr>
          <w:szCs w:val="22"/>
        </w:rPr>
        <w:t xml:space="preserve"> industrial jobs and economic development.  I also participated in a study used to revise the financial policy for the municipal utility in Kansas City, Kansas.</w:t>
      </w:r>
    </w:p>
    <w:p w14:paraId="257F9B35" w14:textId="77777777" w:rsidR="00685365" w:rsidRPr="00066136" w:rsidRDefault="00685365" w:rsidP="00685365">
      <w:pPr>
        <w:pStyle w:val="BodyTextIndent3"/>
        <w:rPr>
          <w:b w:val="0"/>
        </w:rPr>
      </w:pPr>
      <w:r w:rsidRPr="00066136">
        <w:rPr>
          <w:b w:val="0"/>
        </w:rPr>
        <w:tab/>
      </w:r>
      <w:r w:rsidRPr="00066136">
        <w:rPr>
          <w:b w:val="0"/>
        </w:rPr>
        <w:tab/>
        <w:t>At BAI, I also have extensive experience working with large energy users to distribute and critically evaluate responses to requests for proposals (</w:t>
      </w:r>
      <w:r>
        <w:rPr>
          <w:b w:val="0"/>
        </w:rPr>
        <w:t>“</w:t>
      </w:r>
      <w:r w:rsidRPr="00066136">
        <w:rPr>
          <w:b w:val="0"/>
        </w:rPr>
        <w:t>RFPs</w:t>
      </w:r>
      <w:r>
        <w:rPr>
          <w:b w:val="0"/>
        </w:rPr>
        <w:t>”</w:t>
      </w:r>
      <w:r w:rsidRPr="00066136">
        <w:rPr>
          <w:b w:val="0"/>
        </w:rPr>
        <w:t xml:space="preserve">) for electric, steam, and gas energy supply from competitive energy suppliers.  These analyses include the evaluation of gas supply and delivery charges, cogeneration and/or combined cycle unit feasibility studies, and the evaluation of third-party asset/supply management agreements.  I have participated in rate cases on rate </w:t>
      </w:r>
      <w:r w:rsidRPr="00066136">
        <w:rPr>
          <w:b w:val="0"/>
        </w:rPr>
        <w:lastRenderedPageBreak/>
        <w:t>design and class cost of service for electric, natural gas, water and wastewater utilities.  I have also analyzed commodity pricing indices and forward pricing methods for third party supply agreements, and have also conducted regional electric market price forecasts.</w:t>
      </w:r>
    </w:p>
    <w:p w14:paraId="2B71FAD9" w14:textId="77777777" w:rsidR="00685365" w:rsidRPr="00D20EDF" w:rsidRDefault="00685365" w:rsidP="00685365">
      <w:pPr>
        <w:spacing w:line="480" w:lineRule="auto"/>
        <w:ind w:left="720" w:hanging="720"/>
        <w:jc w:val="both"/>
        <w:rPr>
          <w:szCs w:val="22"/>
        </w:rPr>
      </w:pPr>
      <w:r w:rsidRPr="00D20EDF">
        <w:rPr>
          <w:szCs w:val="22"/>
        </w:rPr>
        <w:tab/>
      </w:r>
      <w:r w:rsidRPr="00D20EDF">
        <w:rPr>
          <w:szCs w:val="22"/>
        </w:rPr>
        <w:tab/>
        <w:t>In addition to our main office in St. Louis, the firm also has branch offices in Phoenix, Arizona and Corpus Christi, Texas.</w:t>
      </w:r>
    </w:p>
    <w:p w14:paraId="4EB13252" w14:textId="77777777" w:rsidR="00685365" w:rsidRPr="00D20EDF" w:rsidRDefault="00685365" w:rsidP="00685365">
      <w:pPr>
        <w:suppressLineNumbers/>
        <w:spacing w:line="480" w:lineRule="auto"/>
        <w:ind w:left="720" w:hanging="720"/>
        <w:jc w:val="both"/>
        <w:rPr>
          <w:szCs w:val="22"/>
        </w:rPr>
      </w:pPr>
    </w:p>
    <w:p w14:paraId="7EE4454F" w14:textId="77777777" w:rsidR="00685365" w:rsidRPr="00D20EDF" w:rsidRDefault="00685365" w:rsidP="00685365">
      <w:pPr>
        <w:tabs>
          <w:tab w:val="left" w:pos="720"/>
        </w:tabs>
        <w:spacing w:line="480" w:lineRule="auto"/>
        <w:ind w:left="720" w:hanging="720"/>
        <w:jc w:val="both"/>
        <w:rPr>
          <w:b/>
          <w:bCs/>
          <w:szCs w:val="22"/>
        </w:rPr>
      </w:pPr>
      <w:r w:rsidRPr="00D20EDF">
        <w:rPr>
          <w:b/>
          <w:bCs/>
          <w:szCs w:val="22"/>
        </w:rPr>
        <w:t>Q</w:t>
      </w:r>
      <w:r w:rsidRPr="00D20EDF">
        <w:rPr>
          <w:b/>
          <w:bCs/>
          <w:szCs w:val="22"/>
        </w:rPr>
        <w:tab/>
        <w:t>HAVE YOU EVER TESTIFIED BEFORE A REGULATORY BODY?</w:t>
      </w:r>
    </w:p>
    <w:p w14:paraId="1643D985" w14:textId="77777777" w:rsidR="00685365" w:rsidRPr="00BB3CAB" w:rsidRDefault="00685365" w:rsidP="00685365">
      <w:pPr>
        <w:tabs>
          <w:tab w:val="left" w:pos="720"/>
        </w:tabs>
        <w:spacing w:line="480" w:lineRule="auto"/>
        <w:ind w:left="720" w:hanging="720"/>
        <w:jc w:val="both"/>
        <w:rPr>
          <w:szCs w:val="22"/>
        </w:rPr>
      </w:pPr>
      <w:r w:rsidRPr="00BB3CAB">
        <w:rPr>
          <w:szCs w:val="22"/>
        </w:rPr>
        <w:t>A</w:t>
      </w:r>
      <w:r w:rsidRPr="00BB3CAB">
        <w:rPr>
          <w:szCs w:val="22"/>
        </w:rPr>
        <w:tab/>
        <w:t xml:space="preserve">Yes.  I have sponsored testimony on cost of capital, revenue requirements, cost of service and other issues before the </w:t>
      </w:r>
      <w:r w:rsidRPr="00BB3CAB">
        <w:t>Federal Energy Regulatory Commission and numerous state</w:t>
      </w:r>
      <w:r w:rsidRPr="00BB3CAB">
        <w:rPr>
          <w:szCs w:val="22"/>
        </w:rPr>
        <w:t xml:space="preserve"> regulatory commissions including:  Alaska, Arkansas, Arizona, California, Colorado, Delaware, </w:t>
      </w:r>
      <w:r>
        <w:rPr>
          <w:szCs w:val="22"/>
        </w:rPr>
        <w:t xml:space="preserve">the District of Columbia, </w:t>
      </w:r>
      <w:r w:rsidRPr="00BB3CAB">
        <w:rPr>
          <w:szCs w:val="22"/>
        </w:rPr>
        <w:t xml:space="preserve">Florida, Georgia, Idaho, Illinois, Indiana, Iowa, Kansas, </w:t>
      </w:r>
      <w:r>
        <w:rPr>
          <w:szCs w:val="22"/>
        </w:rPr>
        <w:t xml:space="preserve">Kentucky, </w:t>
      </w:r>
      <w:r w:rsidRPr="00BB3CAB">
        <w:rPr>
          <w:szCs w:val="22"/>
        </w:rPr>
        <w:t xml:space="preserve">Louisiana, </w:t>
      </w:r>
      <w:r>
        <w:rPr>
          <w:szCs w:val="22"/>
        </w:rPr>
        <w:t xml:space="preserve">Maryland, Massachusetts, </w:t>
      </w:r>
      <w:r w:rsidRPr="00BB3CAB">
        <w:rPr>
          <w:szCs w:val="22"/>
        </w:rPr>
        <w:t xml:space="preserve">Michigan, </w:t>
      </w:r>
      <w:r>
        <w:rPr>
          <w:szCs w:val="22"/>
        </w:rPr>
        <w:t xml:space="preserve">Minnesota, </w:t>
      </w:r>
      <w:r w:rsidRPr="00BB3CAB">
        <w:rPr>
          <w:szCs w:val="22"/>
        </w:rPr>
        <w:t xml:space="preserve">Mississippi, Missouri, Montana, </w:t>
      </w:r>
      <w:r>
        <w:rPr>
          <w:szCs w:val="22"/>
        </w:rPr>
        <w:t xml:space="preserve">Nevada, New Hampshire, </w:t>
      </w:r>
      <w:r w:rsidRPr="00BB3CAB">
        <w:rPr>
          <w:szCs w:val="22"/>
        </w:rPr>
        <w:t xml:space="preserve">New Jersey, New Mexico, New York, North Carolina, </w:t>
      </w:r>
      <w:r>
        <w:rPr>
          <w:szCs w:val="22"/>
        </w:rPr>
        <w:t xml:space="preserve">North Dakota, </w:t>
      </w:r>
      <w:r w:rsidRPr="00BB3CAB">
        <w:rPr>
          <w:szCs w:val="22"/>
        </w:rPr>
        <w:t xml:space="preserve">Ohio, Oklahoma, Oregon, South Carolina, </w:t>
      </w:r>
      <w:r>
        <w:rPr>
          <w:szCs w:val="22"/>
        </w:rPr>
        <w:t xml:space="preserve">South Dakota, </w:t>
      </w:r>
      <w:r w:rsidRPr="00BB3CAB">
        <w:rPr>
          <w:szCs w:val="22"/>
        </w:rPr>
        <w:t>Tennessee, Texas, Utah, Vermont, Virginia, Washington, West Virginia, Wisconsin, Wyoming, and before the provincial regulatory boards in Alberta, Nova Scotia, and Quebec, Canada.  I have also sponsored testimony before the Board of Public Utilities in Kansas City, Kansas; presented rate setting position reports to the regulatory board of the municipal utility in Austin, Texas, and Salt River Project, Arizona, on behalf of industrial customers; and negotiated rate disputes for industrial customers of the Municipal Electric Authority of Georgia in the LaGrange, Georgia district.</w:t>
      </w:r>
    </w:p>
    <w:p w14:paraId="43FC737F" w14:textId="77777777" w:rsidR="00685365" w:rsidRPr="00D20EDF" w:rsidRDefault="00685365" w:rsidP="00685365">
      <w:pPr>
        <w:suppressLineNumbers/>
        <w:spacing w:line="480" w:lineRule="auto"/>
        <w:ind w:left="720" w:hanging="720"/>
        <w:jc w:val="both"/>
        <w:rPr>
          <w:szCs w:val="22"/>
        </w:rPr>
      </w:pPr>
    </w:p>
    <w:p w14:paraId="46E7A11C" w14:textId="77777777" w:rsidR="00685365" w:rsidRPr="00D20EDF" w:rsidRDefault="00685365" w:rsidP="00685365">
      <w:pPr>
        <w:keepNext/>
        <w:keepLines/>
        <w:tabs>
          <w:tab w:val="left" w:pos="720"/>
        </w:tabs>
        <w:spacing w:line="480" w:lineRule="auto"/>
        <w:ind w:left="720" w:hanging="720"/>
        <w:jc w:val="both"/>
        <w:rPr>
          <w:b/>
          <w:bCs/>
          <w:szCs w:val="22"/>
        </w:rPr>
      </w:pPr>
      <w:r w:rsidRPr="00D20EDF">
        <w:rPr>
          <w:b/>
          <w:bCs/>
          <w:szCs w:val="22"/>
        </w:rPr>
        <w:lastRenderedPageBreak/>
        <w:t>Q</w:t>
      </w:r>
      <w:r w:rsidRPr="00D20EDF">
        <w:rPr>
          <w:b/>
          <w:bCs/>
          <w:szCs w:val="22"/>
        </w:rPr>
        <w:tab/>
        <w:t>PLEASE DESCRIBE ANY PROFESSIONAL REGISTRATIONS OR ORGANIZATIONS TO WHICH YOU BELONG.</w:t>
      </w:r>
    </w:p>
    <w:p w14:paraId="3F1C7E12" w14:textId="77777777" w:rsidR="00685365" w:rsidRPr="00066136" w:rsidRDefault="00685365" w:rsidP="00685365">
      <w:pPr>
        <w:pStyle w:val="BodyTextIndent3"/>
        <w:rPr>
          <w:b w:val="0"/>
        </w:rPr>
      </w:pPr>
      <w:r w:rsidRPr="00066136">
        <w:rPr>
          <w:b w:val="0"/>
        </w:rPr>
        <w:t>A</w:t>
      </w:r>
      <w:r w:rsidRPr="00066136">
        <w:rPr>
          <w:b w:val="0"/>
        </w:rPr>
        <w:tab/>
        <w:t>I earned the designation of Chartered Financial Analyst (</w:t>
      </w:r>
      <w:r>
        <w:rPr>
          <w:b w:val="0"/>
        </w:rPr>
        <w:t>“</w:t>
      </w:r>
      <w:r w:rsidRPr="00066136">
        <w:rPr>
          <w:b w:val="0"/>
        </w:rPr>
        <w:t>CFA</w:t>
      </w:r>
      <w:r>
        <w:rPr>
          <w:b w:val="0"/>
        </w:rPr>
        <w:t>”</w:t>
      </w:r>
      <w:r w:rsidRPr="00066136">
        <w:rPr>
          <w:b w:val="0"/>
        </w:rPr>
        <w:t>) from the CFA Institute.  The CFA charter was awarded after successfully completing three examinations which covered the subject areas of financial accounting, economics, fixed income and equity valuation and professional and ethical conduct.  I am a member of the CFA Institute</w:t>
      </w:r>
      <w:r>
        <w:rPr>
          <w:b w:val="0"/>
        </w:rPr>
        <w:t>’</w:t>
      </w:r>
      <w:r w:rsidRPr="00066136">
        <w:rPr>
          <w:b w:val="0"/>
        </w:rPr>
        <w:t>s Financial Analyst Society.</w:t>
      </w:r>
    </w:p>
    <w:p w14:paraId="431D5CA5" w14:textId="77777777" w:rsidR="00685365" w:rsidRDefault="00685365" w:rsidP="00685365">
      <w:pPr>
        <w:suppressLineNumbers/>
        <w:tabs>
          <w:tab w:val="left" w:pos="720"/>
        </w:tabs>
        <w:spacing w:line="480" w:lineRule="auto"/>
        <w:ind w:left="720" w:hanging="720"/>
        <w:jc w:val="both"/>
      </w:pPr>
    </w:p>
    <w:p w14:paraId="5877F331" w14:textId="77777777" w:rsidR="00685365" w:rsidRPr="0061650F" w:rsidRDefault="00685365" w:rsidP="00685365">
      <w:pPr>
        <w:suppressLineNumbers/>
        <w:tabs>
          <w:tab w:val="left" w:pos="720"/>
        </w:tabs>
        <w:spacing w:line="480" w:lineRule="auto"/>
        <w:ind w:left="720" w:hanging="720"/>
        <w:jc w:val="both"/>
        <w:rPr>
          <w:sz w:val="12"/>
          <w:szCs w:val="12"/>
        </w:rPr>
      </w:pPr>
      <w:r>
        <w:rPr>
          <w:noProof/>
          <w:sz w:val="12"/>
          <w:szCs w:val="12"/>
        </w:rPr>
        <w:t>423240</w:t>
      </w:r>
    </w:p>
    <w:sectPr w:rsidR="00685365" w:rsidRPr="0061650F" w:rsidSect="00685365">
      <w:headerReference w:type="even" r:id="rId33"/>
      <w:headerReference w:type="default" r:id="rId34"/>
      <w:footerReference w:type="even" r:id="rId35"/>
      <w:footerReference w:type="default" r:id="rId36"/>
      <w:headerReference w:type="first" r:id="rId37"/>
      <w:footerReference w:type="first" r:id="rId38"/>
      <w:type w:val="continuous"/>
      <w:pgSz w:w="12240" w:h="15840" w:code="1"/>
      <w:pgMar w:top="1440" w:right="1440" w:bottom="1440" w:left="1728" w:header="576" w:footer="576" w:gutter="0"/>
      <w:lnNumType w:countBy="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A1DA9" w14:textId="77777777" w:rsidR="00BE2C24" w:rsidRDefault="00BE2C24">
      <w:r>
        <w:separator/>
      </w:r>
    </w:p>
  </w:endnote>
  <w:endnote w:type="continuationSeparator" w:id="0">
    <w:p w14:paraId="0AF2B63F" w14:textId="77777777" w:rsidR="00BE2C24" w:rsidRDefault="00BE2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78A96" w14:textId="77777777" w:rsidR="00657756" w:rsidRDefault="00657756">
    <w:pPr>
      <w:pStyle w:val="Footer"/>
      <w:jc w:val="center"/>
      <w:rPr>
        <w:smallCaps/>
      </w:rPr>
    </w:pPr>
  </w:p>
  <w:p w14:paraId="049C9727" w14:textId="77777777" w:rsidR="00657756" w:rsidRDefault="00657756">
    <w:pPr>
      <w:pStyle w:val="Footer"/>
      <w:jc w:val="center"/>
      <w:rPr>
        <w:smallCaps/>
        <w:sz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E62BA" w14:textId="77777777" w:rsidR="00657756" w:rsidRDefault="00657756">
    <w:pPr>
      <w:pStyle w:val="Footer"/>
      <w:jc w:val="center"/>
      <w:rPr>
        <w:b/>
        <w:smallCaps/>
        <w:sz w:val="18"/>
      </w:rPr>
    </w:pPr>
  </w:p>
  <w:p w14:paraId="524E2C12" w14:textId="77777777" w:rsidR="00657756" w:rsidRDefault="00657756">
    <w:pPr>
      <w:pStyle w:val="Footer"/>
      <w:jc w:val="center"/>
      <w:rPr>
        <w:b/>
        <w:smallCaps/>
        <w:sz w:val="18"/>
      </w:rPr>
    </w:pPr>
    <w:r>
      <w:rPr>
        <w:noProof/>
      </w:rPr>
      <mc:AlternateContent>
        <mc:Choice Requires="wps">
          <w:drawing>
            <wp:anchor distT="0" distB="0" distL="114300" distR="114300" simplePos="0" relativeHeight="251660288" behindDoc="0" locked="0" layoutInCell="1" allowOverlap="1" wp14:anchorId="628A6B68" wp14:editId="734759B5">
              <wp:simplePos x="0" y="0"/>
              <wp:positionH relativeFrom="column">
                <wp:posOffset>38100</wp:posOffset>
              </wp:positionH>
              <wp:positionV relativeFrom="paragraph">
                <wp:posOffset>5715</wp:posOffset>
              </wp:positionV>
              <wp:extent cx="1914525" cy="600075"/>
              <wp:effectExtent l="0" t="0" r="28575" b="28575"/>
              <wp:wrapNone/>
              <wp:docPr id="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4525" cy="600075"/>
                      </a:xfrm>
                      <a:prstGeom prst="rect">
                        <a:avLst/>
                      </a:prstGeom>
                      <a:solidFill>
                        <a:srgbClr val="FFFFFF"/>
                      </a:solidFill>
                      <a:ln w="9525">
                        <a:solidFill>
                          <a:srgbClr val="FFFFFF"/>
                        </a:solidFill>
                        <a:miter lim="800000"/>
                        <a:headEnd/>
                        <a:tailEnd/>
                      </a:ln>
                    </wps:spPr>
                    <wps:txbx>
                      <w:txbxContent>
                        <w:p w14:paraId="0ED12339" w14:textId="77777777" w:rsidR="00657756" w:rsidRDefault="00657756" w:rsidP="00DA4364">
                          <w:pPr>
                            <w:rPr>
                              <w:sz w:val="18"/>
                              <w:szCs w:val="18"/>
                            </w:rPr>
                          </w:pPr>
                          <w:proofErr w:type="spellStart"/>
                          <w:r>
                            <w:rPr>
                              <w:sz w:val="18"/>
                              <w:szCs w:val="18"/>
                            </w:rPr>
                            <w:t>SOAH</w:t>
                          </w:r>
                          <w:proofErr w:type="spellEnd"/>
                          <w:r>
                            <w:rPr>
                              <w:sz w:val="18"/>
                              <w:szCs w:val="18"/>
                            </w:rPr>
                            <w:t xml:space="preserve"> Docket No. </w:t>
                          </w:r>
                          <w:r>
                            <w:rPr>
                              <w:bCs/>
                              <w:sz w:val="18"/>
                              <w:szCs w:val="18"/>
                            </w:rPr>
                            <w:t>473-21-2606</w:t>
                          </w:r>
                        </w:p>
                        <w:p w14:paraId="0840EC0C" w14:textId="77777777" w:rsidR="00657756" w:rsidRDefault="00657756" w:rsidP="00DA4364">
                          <w:pPr>
                            <w:rPr>
                              <w:sz w:val="18"/>
                              <w:szCs w:val="18"/>
                            </w:rPr>
                          </w:pPr>
                          <w:r>
                            <w:rPr>
                              <w:sz w:val="18"/>
                              <w:szCs w:val="18"/>
                            </w:rPr>
                            <w:t>PUC Docket No. 52195</w:t>
                          </w:r>
                        </w:p>
                        <w:p w14:paraId="3DAC2D86" w14:textId="77777777" w:rsidR="00657756" w:rsidRDefault="00657756">
                          <w:pPr>
                            <w:rPr>
                              <w:sz w:val="18"/>
                              <w:szCs w:val="18"/>
                            </w:rPr>
                          </w:pPr>
                          <w:r>
                            <w:rPr>
                              <w:sz w:val="18"/>
                              <w:szCs w:val="18"/>
                            </w:rPr>
                            <w:t>Page 2</w:t>
                          </w:r>
                        </w:p>
                        <w:p w14:paraId="115B4B1E" w14:textId="77777777" w:rsidR="00657756" w:rsidRDefault="00657756">
                          <w:pPr>
                            <w:rPr>
                              <w:sz w:val="18"/>
                              <w:szCs w:val="18"/>
                            </w:rPr>
                          </w:pP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type w14:anchorId="628A6B68" id="_x0000_t202" coordsize="21600,21600" o:spt="202" path="m,l,21600r21600,l21600,xe">
              <v:stroke joinstyle="miter"/>
              <v:path gradientshapeok="t" o:connecttype="rect"/>
            </v:shapetype>
            <v:shape id="Text Box 35" o:spid="_x0000_s1029" type="#_x0000_t202" style="position:absolute;left:0;text-align:left;margin-left:3pt;margin-top:.45pt;width:150.75pt;height:4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" strokecolor="white">
              <v:textbox>
                <w:txbxContent>
                  <w:p w14:paraId="0ED12339" w14:textId="77777777" w:rsidR="00657756" w:rsidRDefault="00657756" w:rsidP="00DA4364">
                    <w:pPr>
                      <w:rPr>
                        <w:sz w:val="18"/>
                        <w:szCs w:val="18"/>
                      </w:rPr>
                    </w:pPr>
                    <w:r>
                      <w:rPr>
                        <w:sz w:val="18"/>
                        <w:szCs w:val="18"/>
                      </w:rPr>
                      <w:t xml:space="preserve">SOAH Docket No. </w:t>
                    </w:r>
                    <w:r>
                      <w:rPr>
                        <w:bCs/>
                        <w:sz w:val="18"/>
                        <w:szCs w:val="18"/>
                      </w:rPr>
                      <w:t>473-21-2606</w:t>
                    </w:r>
                  </w:p>
                  <w:p w14:paraId="0840EC0C" w14:textId="77777777" w:rsidR="00657756" w:rsidRDefault="00657756" w:rsidP="00DA4364">
                    <w:pPr>
                      <w:rPr>
                        <w:sz w:val="18"/>
                        <w:szCs w:val="18"/>
                      </w:rPr>
                    </w:pPr>
                    <w:r>
                      <w:rPr>
                        <w:sz w:val="18"/>
                        <w:szCs w:val="18"/>
                      </w:rPr>
                      <w:t>PUC Docket No. 52195</w:t>
                    </w:r>
                  </w:p>
                  <w:p w14:paraId="3DAC2D86" w14:textId="77777777" w:rsidR="00657756" w:rsidRDefault="00657756">
                    <w:pPr>
                      <w:rPr>
                        <w:sz w:val="18"/>
                        <w:szCs w:val="18"/>
                      </w:rPr>
                    </w:pPr>
                    <w:r>
                      <w:rPr>
                        <w:sz w:val="18"/>
                        <w:szCs w:val="18"/>
                      </w:rPr>
                      <w:t>Page 2</w:t>
                    </w:r>
                  </w:p>
                  <w:p w14:paraId="115B4B1E" w14:textId="77777777" w:rsidR="00657756" w:rsidRDefault="00657756">
                    <w:pPr>
                      <w:rPr>
                        <w:sz w:val="18"/>
                        <w:szCs w:val="18"/>
                      </w:rPr>
                    </w:pPr>
                  </w:p>
                </w:txbxContent>
              </v:textbox>
            </v:shape>
          </w:pict>
        </mc:Fallback>
      </mc:AlternateContent>
    </w:r>
  </w:p>
  <w:p w14:paraId="1BFD98B7" w14:textId="77777777" w:rsidR="00657756" w:rsidRDefault="00657756">
    <w:pPr>
      <w:pStyle w:val="Footer"/>
      <w:rPr>
        <w:b/>
        <w:smallCaps/>
        <w:sz w:val="18"/>
      </w:rPr>
    </w:pPr>
  </w:p>
  <w:p w14:paraId="6AD866B7" w14:textId="77777777" w:rsidR="00657756" w:rsidRDefault="00657756">
    <w:pPr>
      <w:pStyle w:val="Footer"/>
      <w:jc w:val="center"/>
      <w:rPr>
        <w:b/>
        <w:smallCaps/>
        <w:sz w:val="18"/>
      </w:rPr>
    </w:pPr>
  </w:p>
  <w:p w14:paraId="0AE96A34" w14:textId="77777777" w:rsidR="00657756" w:rsidRDefault="00657756">
    <w:pPr>
      <w:pStyle w:val="Footer"/>
      <w:jc w:val="center"/>
      <w:rPr>
        <w:b/>
        <w:smallCaps/>
        <w:sz w:val="18"/>
      </w:rPr>
    </w:pPr>
    <w:r>
      <w:rPr>
        <w:b/>
        <w:smallCaps/>
        <w:sz w:val="18"/>
      </w:rPr>
      <w:t>Brubaker &amp; Associates, Inc.</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F44D8" w14:textId="77777777" w:rsidR="00657756" w:rsidRDefault="00657756">
    <w:pPr>
      <w:pStyle w:val="Footer"/>
      <w:jc w:val="center"/>
      <w:rPr>
        <w:smallCaps/>
        <w:sz w:val="18"/>
      </w:rPr>
    </w:pPr>
    <w:r>
      <w:rPr>
        <w:smallCaps/>
        <w:sz w:val="18"/>
      </w:rPr>
      <w:t>Brubaker &amp; Associates</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1BFD8" w14:textId="77777777" w:rsidR="00657756" w:rsidRDefault="00657756">
    <w:pPr>
      <w:jc w:val="center"/>
      <w:rPr>
        <w:rStyle w:val="PageNumber"/>
        <w:b/>
        <w:bCs/>
        <w:smallCaps/>
        <w:sz w:val="18"/>
      </w:rPr>
    </w:pPr>
    <w:r>
      <w:rPr>
        <w:noProof/>
      </w:rPr>
      <mc:AlternateContent>
        <mc:Choice Requires="wps">
          <w:drawing>
            <wp:anchor distT="0" distB="0" distL="114300" distR="114300" simplePos="0" relativeHeight="251661312" behindDoc="0" locked="0" layoutInCell="1" allowOverlap="1" wp14:anchorId="1349684C" wp14:editId="0232E2B0">
              <wp:simplePos x="0" y="0"/>
              <wp:positionH relativeFrom="column">
                <wp:posOffset>-38100</wp:posOffset>
              </wp:positionH>
              <wp:positionV relativeFrom="paragraph">
                <wp:posOffset>120015</wp:posOffset>
              </wp:positionV>
              <wp:extent cx="1895475" cy="619125"/>
              <wp:effectExtent l="0" t="0" r="28575" b="28575"/>
              <wp:wrapNone/>
              <wp:docPr id="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619125"/>
                      </a:xfrm>
                      <a:prstGeom prst="rect">
                        <a:avLst/>
                      </a:prstGeom>
                      <a:solidFill>
                        <a:srgbClr val="FFFFFF"/>
                      </a:solidFill>
                      <a:ln w="9525">
                        <a:solidFill>
                          <a:srgbClr val="FFFFFF"/>
                        </a:solidFill>
                        <a:miter lim="800000"/>
                        <a:headEnd/>
                        <a:tailEnd/>
                      </a:ln>
                    </wps:spPr>
                    <wps:txbx>
                      <w:txbxContent>
                        <w:p w14:paraId="2D817AD3" w14:textId="77777777" w:rsidR="00657756" w:rsidRDefault="00657756" w:rsidP="00DA4364">
                          <w:pPr>
                            <w:rPr>
                              <w:sz w:val="18"/>
                              <w:szCs w:val="18"/>
                            </w:rPr>
                          </w:pPr>
                          <w:proofErr w:type="spellStart"/>
                          <w:r>
                            <w:rPr>
                              <w:sz w:val="18"/>
                              <w:szCs w:val="18"/>
                            </w:rPr>
                            <w:t>SOAH</w:t>
                          </w:r>
                          <w:proofErr w:type="spellEnd"/>
                          <w:r>
                            <w:rPr>
                              <w:sz w:val="18"/>
                              <w:szCs w:val="18"/>
                            </w:rPr>
                            <w:t xml:space="preserve"> Docket No. </w:t>
                          </w:r>
                          <w:r>
                            <w:rPr>
                              <w:bCs/>
                              <w:sz w:val="18"/>
                              <w:szCs w:val="18"/>
                            </w:rPr>
                            <w:t>473-21-2606</w:t>
                          </w:r>
                        </w:p>
                        <w:p w14:paraId="5B51AAF2" w14:textId="77777777" w:rsidR="00657756" w:rsidRDefault="00657756" w:rsidP="00DA4364">
                          <w:pPr>
                            <w:rPr>
                              <w:sz w:val="18"/>
                              <w:szCs w:val="18"/>
                            </w:rPr>
                          </w:pPr>
                          <w:r>
                            <w:rPr>
                              <w:sz w:val="18"/>
                              <w:szCs w:val="18"/>
                            </w:rPr>
                            <w:t>PUC Docket No. 52195</w:t>
                          </w:r>
                        </w:p>
                        <w:p w14:paraId="6717EBE4" w14:textId="77777777" w:rsidR="00657756" w:rsidRDefault="00657756">
                          <w:pPr>
                            <w:rPr>
                              <w:sz w:val="18"/>
                              <w:szCs w:val="18"/>
                            </w:rPr>
                          </w:pPr>
                          <w:r>
                            <w:rPr>
                              <w:sz w:val="18"/>
                              <w:szCs w:val="18"/>
                            </w:rPr>
                            <w:t>Page 3</w:t>
                          </w:r>
                        </w:p>
                        <w:p w14:paraId="1BC16BD6" w14:textId="77777777" w:rsidR="00657756" w:rsidRDefault="00657756">
                          <w:pPr>
                            <w:rPr>
                              <w:sz w:val="18"/>
                              <w:szCs w:val="18"/>
                            </w:rPr>
                          </w:pP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type w14:anchorId="1349684C" id="_x0000_t202" coordsize="21600,21600" o:spt="202" path="m,l,21600r21600,l21600,xe">
              <v:stroke joinstyle="miter"/>
              <v:path gradientshapeok="t" o:connecttype="rect"/>
            </v:shapetype>
            <v:shape id="Text Box 36" o:spid="_x0000_s1030" type="#_x0000_t202" style="position:absolute;left:0;text-align:left;margin-left:-3pt;margin-top:9.45pt;width:149.25pt;height:4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" strokecolor="white">
              <v:textbox>
                <w:txbxContent>
                  <w:p w14:paraId="2D817AD3" w14:textId="77777777" w:rsidR="00657756" w:rsidRDefault="00657756" w:rsidP="00DA4364">
                    <w:pPr>
                      <w:rPr>
                        <w:sz w:val="18"/>
                        <w:szCs w:val="18"/>
                      </w:rPr>
                    </w:pPr>
                    <w:r>
                      <w:rPr>
                        <w:sz w:val="18"/>
                        <w:szCs w:val="18"/>
                      </w:rPr>
                      <w:t xml:space="preserve">SOAH Docket No. </w:t>
                    </w:r>
                    <w:r>
                      <w:rPr>
                        <w:bCs/>
                        <w:sz w:val="18"/>
                        <w:szCs w:val="18"/>
                      </w:rPr>
                      <w:t>473-21-2606</w:t>
                    </w:r>
                  </w:p>
                  <w:p w14:paraId="5B51AAF2" w14:textId="77777777" w:rsidR="00657756" w:rsidRDefault="00657756" w:rsidP="00DA4364">
                    <w:pPr>
                      <w:rPr>
                        <w:sz w:val="18"/>
                        <w:szCs w:val="18"/>
                      </w:rPr>
                    </w:pPr>
                    <w:r>
                      <w:rPr>
                        <w:sz w:val="18"/>
                        <w:szCs w:val="18"/>
                      </w:rPr>
                      <w:t>PUC Docket No. 52195</w:t>
                    </w:r>
                  </w:p>
                  <w:p w14:paraId="6717EBE4" w14:textId="77777777" w:rsidR="00657756" w:rsidRDefault="00657756">
                    <w:pPr>
                      <w:rPr>
                        <w:sz w:val="18"/>
                        <w:szCs w:val="18"/>
                      </w:rPr>
                    </w:pPr>
                    <w:r>
                      <w:rPr>
                        <w:sz w:val="18"/>
                        <w:szCs w:val="18"/>
                      </w:rPr>
                      <w:t>Page 3</w:t>
                    </w:r>
                  </w:p>
                  <w:p w14:paraId="1BC16BD6" w14:textId="77777777" w:rsidR="00657756" w:rsidRDefault="00657756">
                    <w:pPr>
                      <w:rPr>
                        <w:sz w:val="18"/>
                        <w:szCs w:val="18"/>
                      </w:rPr>
                    </w:pPr>
                  </w:p>
                </w:txbxContent>
              </v:textbox>
            </v:shape>
          </w:pict>
        </mc:Fallback>
      </mc:AlternateContent>
    </w:r>
  </w:p>
  <w:p w14:paraId="3E99CCB0" w14:textId="77777777" w:rsidR="00657756" w:rsidRDefault="00657756">
    <w:pPr>
      <w:rPr>
        <w:rStyle w:val="PageNumber"/>
        <w:b/>
        <w:bCs/>
        <w:smallCaps/>
        <w:sz w:val="18"/>
      </w:rPr>
    </w:pPr>
  </w:p>
  <w:p w14:paraId="2D4E424C" w14:textId="77777777" w:rsidR="00657756" w:rsidRDefault="00657756">
    <w:pPr>
      <w:jc w:val="center"/>
      <w:rPr>
        <w:rStyle w:val="PageNumber"/>
        <w:b/>
        <w:bCs/>
        <w:smallCaps/>
        <w:sz w:val="18"/>
      </w:rPr>
    </w:pPr>
  </w:p>
  <w:p w14:paraId="2E522697" w14:textId="77777777" w:rsidR="00657756" w:rsidRDefault="00657756">
    <w:pPr>
      <w:jc w:val="center"/>
      <w:rPr>
        <w:rStyle w:val="PageNumber"/>
        <w:sz w:val="18"/>
      </w:rPr>
    </w:pPr>
    <w:r>
      <w:rPr>
        <w:rStyle w:val="PageNumber"/>
        <w:b/>
        <w:bCs/>
        <w:smallCaps/>
        <w:sz w:val="18"/>
      </w:rPr>
      <w:t>Brubaker &amp; Associates, Inc.</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AF085" w14:textId="77777777" w:rsidR="00657756" w:rsidRDefault="00657756">
    <w:pPr>
      <w:pStyle w:val="Footer"/>
      <w:tabs>
        <w:tab w:val="clear" w:pos="4320"/>
        <w:tab w:val="clear" w:pos="8640"/>
      </w:tabs>
      <w:jc w:val="right"/>
      <w:rPr>
        <w:rStyle w:val="PageNumber"/>
        <w:b/>
        <w:bCs/>
        <w:sz w:val="20"/>
      </w:rPr>
    </w:pPr>
  </w:p>
  <w:p w14:paraId="4469FFB9" w14:textId="77777777" w:rsidR="00657756" w:rsidRDefault="00657756">
    <w:pPr>
      <w:jc w:val="center"/>
    </w:pPr>
    <w:r>
      <w:rPr>
        <w:rStyle w:val="PageNumber"/>
        <w:b/>
        <w:bCs/>
        <w:smallCaps/>
        <w:sz w:val="18"/>
      </w:rPr>
      <w:t>Brubaker &amp; Associates, Inc.</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DB33D" w14:textId="77777777" w:rsidR="00657756" w:rsidRDefault="00657756">
    <w:pPr>
      <w:rPr>
        <w:rStyle w:val="PageNumber"/>
        <w:b/>
        <w:bCs/>
        <w:smallCaps/>
        <w:sz w:val="18"/>
      </w:rPr>
    </w:pPr>
    <w:r>
      <w:rPr>
        <w:noProof/>
      </w:rPr>
      <mc:AlternateContent>
        <mc:Choice Requires="wps">
          <w:drawing>
            <wp:anchor distT="0" distB="0" distL="114300" distR="114300" simplePos="0" relativeHeight="251662336" behindDoc="0" locked="0" layoutInCell="1" allowOverlap="1" wp14:anchorId="752F1A74" wp14:editId="2B16CDE7">
              <wp:simplePos x="0" y="0"/>
              <wp:positionH relativeFrom="column">
                <wp:posOffset>104775</wp:posOffset>
              </wp:positionH>
              <wp:positionV relativeFrom="paragraph">
                <wp:posOffset>100965</wp:posOffset>
              </wp:positionV>
              <wp:extent cx="1834515" cy="647700"/>
              <wp:effectExtent l="0" t="0" r="13335" b="19050"/>
              <wp:wrapNone/>
              <wp:docPr id="2"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4515" cy="647700"/>
                      </a:xfrm>
                      <a:prstGeom prst="rect">
                        <a:avLst/>
                      </a:prstGeom>
                      <a:solidFill>
                        <a:srgbClr val="FFFFFF"/>
                      </a:solidFill>
                      <a:ln w="9525">
                        <a:solidFill>
                          <a:srgbClr val="FFFFFF"/>
                        </a:solidFill>
                        <a:miter lim="800000"/>
                        <a:headEnd/>
                        <a:tailEnd/>
                      </a:ln>
                    </wps:spPr>
                    <wps:txbx>
                      <w:txbxContent>
                        <w:p w14:paraId="0297CC3D" w14:textId="77777777" w:rsidR="00657756" w:rsidRDefault="00657756" w:rsidP="00DA4364">
                          <w:pPr>
                            <w:rPr>
                              <w:sz w:val="18"/>
                              <w:szCs w:val="18"/>
                            </w:rPr>
                          </w:pPr>
                          <w:proofErr w:type="spellStart"/>
                          <w:r>
                            <w:rPr>
                              <w:sz w:val="18"/>
                              <w:szCs w:val="18"/>
                            </w:rPr>
                            <w:t>SOAH</w:t>
                          </w:r>
                          <w:proofErr w:type="spellEnd"/>
                          <w:r>
                            <w:rPr>
                              <w:sz w:val="18"/>
                              <w:szCs w:val="18"/>
                            </w:rPr>
                            <w:t xml:space="preserve"> Docket No. </w:t>
                          </w:r>
                          <w:r>
                            <w:rPr>
                              <w:bCs/>
                              <w:sz w:val="18"/>
                              <w:szCs w:val="18"/>
                            </w:rPr>
                            <w:t>473-21-2606</w:t>
                          </w:r>
                        </w:p>
                        <w:p w14:paraId="1482E04F" w14:textId="77777777" w:rsidR="00657756" w:rsidRDefault="00657756" w:rsidP="00DA4364">
                          <w:pPr>
                            <w:rPr>
                              <w:sz w:val="18"/>
                              <w:szCs w:val="18"/>
                            </w:rPr>
                          </w:pPr>
                          <w:r>
                            <w:rPr>
                              <w:sz w:val="18"/>
                              <w:szCs w:val="18"/>
                            </w:rPr>
                            <w:t>PUC Docket No. 52195</w:t>
                          </w:r>
                        </w:p>
                        <w:p w14:paraId="7BE3E740" w14:textId="1B33B84E" w:rsidR="00657756" w:rsidRDefault="00657756">
                          <w:pPr>
                            <w:rPr>
                              <w:sz w:val="18"/>
                              <w:szCs w:val="18"/>
                            </w:rPr>
                          </w:pPr>
                          <w:r>
                            <w:rPr>
                              <w:sz w:val="18"/>
                              <w:szCs w:val="18"/>
                            </w:rPr>
                            <w:t xml:space="preserve">Page </w:t>
                          </w:r>
                          <w:r>
                            <w:rPr>
                              <w:sz w:val="18"/>
                              <w:szCs w:val="18"/>
                            </w:rPr>
                            <w:fldChar w:fldCharType="begin"/>
                          </w:r>
                          <w:r>
                            <w:rPr>
                              <w:sz w:val="18"/>
                              <w:szCs w:val="18"/>
                            </w:rPr>
                            <w:instrText xml:space="preserve"> PAGE   \* MERGEFORMAT </w:instrText>
                          </w:r>
                          <w:r>
                            <w:rPr>
                              <w:sz w:val="18"/>
                              <w:szCs w:val="18"/>
                            </w:rPr>
                            <w:fldChar w:fldCharType="separate"/>
                          </w:r>
                          <w:r w:rsidR="0091465A">
                            <w:rPr>
                              <w:noProof/>
                              <w:sz w:val="18"/>
                              <w:szCs w:val="18"/>
                            </w:rPr>
                            <w:t>28</w:t>
                          </w:r>
                          <w:r>
                            <w:rPr>
                              <w:sz w:val="18"/>
                              <w:szCs w:val="18"/>
                            </w:rPr>
                            <w:fldChar w:fldCharType="end"/>
                          </w:r>
                        </w:p>
                        <w:p w14:paraId="712B8E10" w14:textId="77777777" w:rsidR="00657756" w:rsidRDefault="00657756">
                          <w:pPr>
                            <w:rPr>
                              <w:sz w:val="18"/>
                              <w:szCs w:val="18"/>
                            </w:rPr>
                          </w:pP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type w14:anchorId="752F1A74" id="_x0000_t202" coordsize="21600,21600" o:spt="202" path="m,l,21600r21600,l21600,xe">
              <v:stroke joinstyle="miter"/>
              <v:path gradientshapeok="t" o:connecttype="rect"/>
            </v:shapetype>
            <v:shape id="Text Box 37" o:spid="_x0000_s1031" type="#_x0000_t202" style="position:absolute;margin-left:8.25pt;margin-top:7.95pt;width:144.45pt;height:5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" strokecolor="white">
              <v:textbox>
                <w:txbxContent>
                  <w:p w14:paraId="0297CC3D" w14:textId="77777777" w:rsidR="00657756" w:rsidRDefault="00657756" w:rsidP="00DA4364">
                    <w:pPr>
                      <w:rPr>
                        <w:sz w:val="18"/>
                        <w:szCs w:val="18"/>
                      </w:rPr>
                    </w:pPr>
                    <w:proofErr w:type="spellStart"/>
                    <w:r>
                      <w:rPr>
                        <w:sz w:val="18"/>
                        <w:szCs w:val="18"/>
                      </w:rPr>
                      <w:t>SOAH</w:t>
                    </w:r>
                    <w:proofErr w:type="spellEnd"/>
                    <w:r>
                      <w:rPr>
                        <w:sz w:val="18"/>
                        <w:szCs w:val="18"/>
                      </w:rPr>
                      <w:t xml:space="preserve"> Docket No. </w:t>
                    </w:r>
                    <w:r>
                      <w:rPr>
                        <w:bCs/>
                        <w:sz w:val="18"/>
                        <w:szCs w:val="18"/>
                      </w:rPr>
                      <w:t>473-21-2606</w:t>
                    </w:r>
                  </w:p>
                  <w:p w14:paraId="1482E04F" w14:textId="77777777" w:rsidR="00657756" w:rsidRDefault="00657756" w:rsidP="00DA4364">
                    <w:pPr>
                      <w:rPr>
                        <w:sz w:val="18"/>
                        <w:szCs w:val="18"/>
                      </w:rPr>
                    </w:pPr>
                    <w:r>
                      <w:rPr>
                        <w:sz w:val="18"/>
                        <w:szCs w:val="18"/>
                      </w:rPr>
                      <w:t>PUC Docket No. 52195</w:t>
                    </w:r>
                  </w:p>
                  <w:p w14:paraId="7BE3E740" w14:textId="1B33B84E" w:rsidR="00657756" w:rsidRDefault="00657756">
                    <w:pPr>
                      <w:rPr>
                        <w:sz w:val="18"/>
                        <w:szCs w:val="18"/>
                      </w:rPr>
                    </w:pPr>
                    <w:r>
                      <w:rPr>
                        <w:sz w:val="18"/>
                        <w:szCs w:val="18"/>
                      </w:rPr>
                      <w:t xml:space="preserve">Page </w:t>
                    </w:r>
                    <w:r>
                      <w:rPr>
                        <w:sz w:val="18"/>
                        <w:szCs w:val="18"/>
                      </w:rPr>
                      <w:fldChar w:fldCharType="begin"/>
                    </w:r>
                    <w:r>
                      <w:rPr>
                        <w:sz w:val="18"/>
                        <w:szCs w:val="18"/>
                      </w:rPr>
                      <w:instrText xml:space="preserve"> PAGE   \* MERGEFORMAT </w:instrText>
                    </w:r>
                    <w:r>
                      <w:rPr>
                        <w:sz w:val="18"/>
                        <w:szCs w:val="18"/>
                      </w:rPr>
                      <w:fldChar w:fldCharType="separate"/>
                    </w:r>
                    <w:r w:rsidR="0091465A">
                      <w:rPr>
                        <w:noProof/>
                        <w:sz w:val="18"/>
                        <w:szCs w:val="18"/>
                      </w:rPr>
                      <w:t>28</w:t>
                    </w:r>
                    <w:r>
                      <w:rPr>
                        <w:sz w:val="18"/>
                        <w:szCs w:val="18"/>
                      </w:rPr>
                      <w:fldChar w:fldCharType="end"/>
                    </w:r>
                  </w:p>
                  <w:p w14:paraId="712B8E10" w14:textId="77777777" w:rsidR="00657756" w:rsidRDefault="00657756">
                    <w:pPr>
                      <w:rPr>
                        <w:sz w:val="18"/>
                        <w:szCs w:val="18"/>
                      </w:rPr>
                    </w:pPr>
                  </w:p>
                </w:txbxContent>
              </v:textbox>
            </v:shape>
          </w:pict>
        </mc:Fallback>
      </mc:AlternateContent>
    </w:r>
  </w:p>
  <w:p w14:paraId="2C31F8DD" w14:textId="77777777" w:rsidR="00657756" w:rsidRDefault="00657756">
    <w:pPr>
      <w:jc w:val="center"/>
      <w:rPr>
        <w:rStyle w:val="PageNumber"/>
        <w:b/>
        <w:bCs/>
        <w:smallCaps/>
        <w:sz w:val="18"/>
      </w:rPr>
    </w:pPr>
  </w:p>
  <w:p w14:paraId="1424F7A0" w14:textId="77777777" w:rsidR="00657756" w:rsidRDefault="00657756">
    <w:pPr>
      <w:jc w:val="center"/>
      <w:rPr>
        <w:rStyle w:val="PageNumber"/>
        <w:b/>
        <w:bCs/>
        <w:smallCaps/>
        <w:sz w:val="18"/>
      </w:rPr>
    </w:pPr>
  </w:p>
  <w:p w14:paraId="693C7796" w14:textId="77777777" w:rsidR="00657756" w:rsidRDefault="00657756">
    <w:pPr>
      <w:jc w:val="center"/>
      <w:rPr>
        <w:rStyle w:val="PageNumber"/>
        <w:sz w:val="18"/>
      </w:rPr>
    </w:pPr>
    <w:r>
      <w:rPr>
        <w:rStyle w:val="PageNumber"/>
        <w:b/>
        <w:bCs/>
        <w:smallCaps/>
        <w:sz w:val="18"/>
      </w:rPr>
      <w:t>Brubaker &amp; Associates, Inc.</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31FF1" w14:textId="77777777" w:rsidR="00657756" w:rsidRDefault="00657756">
    <w:pPr>
      <w:pStyle w:val="Footer"/>
    </w:pPr>
  </w:p>
  <w:p w14:paraId="70DD2DCD" w14:textId="77777777" w:rsidR="00657756" w:rsidRDefault="00657756"/>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9BBE8" w14:textId="77777777" w:rsidR="00657756" w:rsidRDefault="00657756" w:rsidP="005A30C4">
    <w:pPr>
      <w:pStyle w:val="Footer"/>
      <w:rPr>
        <w:rFonts w:cs="Arial"/>
        <w:b/>
        <w:bCs/>
        <w:smallCaps/>
        <w:sz w:val="18"/>
      </w:rPr>
    </w:pPr>
    <w:r>
      <w:rPr>
        <w:rFonts w:cs="Arial"/>
        <w:b/>
        <w:bCs/>
        <w:smallCaps/>
        <w:noProof/>
        <w:sz w:val="18"/>
      </w:rPr>
      <mc:AlternateContent>
        <mc:Choice Requires="wps">
          <w:drawing>
            <wp:anchor distT="0" distB="0" distL="114300" distR="114300" simplePos="0" relativeHeight="251658240" behindDoc="0" locked="0" layoutInCell="1" allowOverlap="1" wp14:anchorId="74695D63" wp14:editId="09309894">
              <wp:simplePos x="0" y="0"/>
              <wp:positionH relativeFrom="column">
                <wp:posOffset>-78105</wp:posOffset>
              </wp:positionH>
              <wp:positionV relativeFrom="paragraph">
                <wp:posOffset>31115</wp:posOffset>
              </wp:positionV>
              <wp:extent cx="2028825" cy="509905"/>
              <wp:effectExtent l="9525" t="12065" r="9525" b="1143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8825" cy="509905"/>
                      </a:xfrm>
                      <a:prstGeom prst="rect">
                        <a:avLst/>
                      </a:prstGeom>
                      <a:solidFill>
                        <a:srgbClr val="FFFFFF"/>
                      </a:solidFill>
                      <a:ln w="9525">
                        <a:solidFill>
                          <a:schemeClr val="bg1">
                            <a:lumMod val="100000"/>
                            <a:lumOff val="0"/>
                          </a:schemeClr>
                        </a:solidFill>
                        <a:miter lim="800000"/>
                        <a:headEnd/>
                        <a:tailEnd/>
                      </a:ln>
                    </wps:spPr>
                    <wps:txbx>
                      <w:txbxContent>
                        <w:p w14:paraId="7CBBC00C" w14:textId="77777777" w:rsidR="00657756" w:rsidRDefault="00657756" w:rsidP="00A72204">
                          <w:pPr>
                            <w:rPr>
                              <w:sz w:val="18"/>
                              <w:szCs w:val="18"/>
                            </w:rPr>
                          </w:pPr>
                          <w:proofErr w:type="spellStart"/>
                          <w:r>
                            <w:rPr>
                              <w:sz w:val="18"/>
                              <w:szCs w:val="18"/>
                            </w:rPr>
                            <w:t>SOAH</w:t>
                          </w:r>
                          <w:proofErr w:type="spellEnd"/>
                          <w:r>
                            <w:rPr>
                              <w:sz w:val="18"/>
                              <w:szCs w:val="18"/>
                            </w:rPr>
                            <w:t xml:space="preserve"> Docket No. </w:t>
                          </w:r>
                          <w:r>
                            <w:rPr>
                              <w:bCs/>
                              <w:sz w:val="18"/>
                              <w:szCs w:val="18"/>
                            </w:rPr>
                            <w:t>473-21-2606</w:t>
                          </w:r>
                        </w:p>
                        <w:p w14:paraId="49C39301" w14:textId="77777777" w:rsidR="00657756" w:rsidRDefault="00657756" w:rsidP="00A72204">
                          <w:pPr>
                            <w:rPr>
                              <w:sz w:val="18"/>
                              <w:szCs w:val="18"/>
                            </w:rPr>
                          </w:pPr>
                          <w:r>
                            <w:rPr>
                              <w:sz w:val="18"/>
                              <w:szCs w:val="18"/>
                            </w:rPr>
                            <w:t>PUC Docket No. 52195</w:t>
                          </w:r>
                        </w:p>
                        <w:p w14:paraId="6EEB76EF" w14:textId="4CCFF3F2" w:rsidR="00657756" w:rsidRDefault="00657756" w:rsidP="00A72204">
                          <w:pPr>
                            <w:rPr>
                              <w:sz w:val="18"/>
                              <w:szCs w:val="18"/>
                            </w:rPr>
                          </w:pPr>
                          <w:r>
                            <w:rPr>
                              <w:sz w:val="18"/>
                              <w:szCs w:val="18"/>
                            </w:rPr>
                            <w:t xml:space="preserve">Page </w:t>
                          </w:r>
                          <w:r>
                            <w:rPr>
                              <w:sz w:val="18"/>
                              <w:szCs w:val="18"/>
                            </w:rPr>
                            <w:fldChar w:fldCharType="begin"/>
                          </w:r>
                          <w:r>
                            <w:rPr>
                              <w:sz w:val="18"/>
                              <w:szCs w:val="18"/>
                            </w:rPr>
                            <w:instrText xml:space="preserve"> PAGE   \* MERGEFORMAT </w:instrText>
                          </w:r>
                          <w:r>
                            <w:rPr>
                              <w:sz w:val="18"/>
                              <w:szCs w:val="18"/>
                            </w:rPr>
                            <w:fldChar w:fldCharType="separate"/>
                          </w:r>
                          <w:r w:rsidR="002948F2">
                            <w:rPr>
                              <w:noProof/>
                              <w:sz w:val="18"/>
                              <w:szCs w:val="18"/>
                            </w:rPr>
                            <w:t>85</w:t>
                          </w:r>
                          <w:r>
                            <w:rPr>
                              <w:sz w:val="18"/>
                              <w:szCs w:val="18"/>
                            </w:rPr>
                            <w:fldChar w:fldCharType="end"/>
                          </w:r>
                        </w:p>
                        <w:p w14:paraId="5A3EAC67" w14:textId="77777777" w:rsidR="00657756" w:rsidRDefault="00657756" w:rsidP="00A72204">
                          <w:pPr>
                            <w:rPr>
                              <w:sz w:val="18"/>
                              <w:szCs w:val="18"/>
                            </w:rPr>
                          </w:pPr>
                        </w:p>
                        <w:p w14:paraId="3168D5BE" w14:textId="77777777" w:rsidR="00657756" w:rsidRPr="005A30C4" w:rsidRDefault="00657756">
                          <w:pPr>
                            <w:rPr>
                              <w:sz w:val="18"/>
                              <w:szCs w:val="18"/>
                            </w:rPr>
                          </w:pP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type w14:anchorId="74695D63" id="_x0000_t202" coordsize="21600,21600" o:spt="202" path="m,l,21600r21600,l21600,xe">
              <v:stroke joinstyle="miter"/>
              <v:path gradientshapeok="t" o:connecttype="rect"/>
            </v:shapetype>
            <v:shape id="Text Box 4" o:spid="_x0000_s1032" type="#_x0000_t202" style="position:absolute;margin-left:-6.15pt;margin-top:2.45pt;width:159.75pt;height:4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" strokecolor="white [3212]">
              <v:textbox>
                <w:txbxContent>
                  <w:p w14:paraId="7CBBC00C" w14:textId="77777777" w:rsidR="00657756" w:rsidRDefault="00657756" w:rsidP="00A72204">
                    <w:pPr>
                      <w:rPr>
                        <w:sz w:val="18"/>
                        <w:szCs w:val="18"/>
                      </w:rPr>
                    </w:pPr>
                    <w:proofErr w:type="spellStart"/>
                    <w:r>
                      <w:rPr>
                        <w:sz w:val="18"/>
                        <w:szCs w:val="18"/>
                      </w:rPr>
                      <w:t>SOAH</w:t>
                    </w:r>
                    <w:proofErr w:type="spellEnd"/>
                    <w:r>
                      <w:rPr>
                        <w:sz w:val="18"/>
                        <w:szCs w:val="18"/>
                      </w:rPr>
                      <w:t xml:space="preserve"> Docket No. </w:t>
                    </w:r>
                    <w:r>
                      <w:rPr>
                        <w:bCs/>
                        <w:sz w:val="18"/>
                        <w:szCs w:val="18"/>
                      </w:rPr>
                      <w:t>473-21-2606</w:t>
                    </w:r>
                  </w:p>
                  <w:p w14:paraId="49C39301" w14:textId="77777777" w:rsidR="00657756" w:rsidRDefault="00657756" w:rsidP="00A72204">
                    <w:pPr>
                      <w:rPr>
                        <w:sz w:val="18"/>
                        <w:szCs w:val="18"/>
                      </w:rPr>
                    </w:pPr>
                    <w:r>
                      <w:rPr>
                        <w:sz w:val="18"/>
                        <w:szCs w:val="18"/>
                      </w:rPr>
                      <w:t>PUC Docket No. 52195</w:t>
                    </w:r>
                  </w:p>
                  <w:p w14:paraId="6EEB76EF" w14:textId="4CCFF3F2" w:rsidR="00657756" w:rsidRDefault="00657756" w:rsidP="00A72204">
                    <w:pPr>
                      <w:rPr>
                        <w:sz w:val="18"/>
                        <w:szCs w:val="18"/>
                      </w:rPr>
                    </w:pPr>
                    <w:r>
                      <w:rPr>
                        <w:sz w:val="18"/>
                        <w:szCs w:val="18"/>
                      </w:rPr>
                      <w:t xml:space="preserve">Page </w:t>
                    </w:r>
                    <w:r>
                      <w:rPr>
                        <w:sz w:val="18"/>
                        <w:szCs w:val="18"/>
                      </w:rPr>
                      <w:fldChar w:fldCharType="begin"/>
                    </w:r>
                    <w:r>
                      <w:rPr>
                        <w:sz w:val="18"/>
                        <w:szCs w:val="18"/>
                      </w:rPr>
                      <w:instrText xml:space="preserve"> PAGE   \* MERGEFORMAT </w:instrText>
                    </w:r>
                    <w:r>
                      <w:rPr>
                        <w:sz w:val="18"/>
                        <w:szCs w:val="18"/>
                      </w:rPr>
                      <w:fldChar w:fldCharType="separate"/>
                    </w:r>
                    <w:r w:rsidR="002948F2">
                      <w:rPr>
                        <w:noProof/>
                        <w:sz w:val="18"/>
                        <w:szCs w:val="18"/>
                      </w:rPr>
                      <w:t>85</w:t>
                    </w:r>
                    <w:r>
                      <w:rPr>
                        <w:sz w:val="18"/>
                        <w:szCs w:val="18"/>
                      </w:rPr>
                      <w:fldChar w:fldCharType="end"/>
                    </w:r>
                  </w:p>
                  <w:p w14:paraId="5A3EAC67" w14:textId="77777777" w:rsidR="00657756" w:rsidRDefault="00657756" w:rsidP="00A72204">
                    <w:pPr>
                      <w:rPr>
                        <w:sz w:val="18"/>
                        <w:szCs w:val="18"/>
                      </w:rPr>
                    </w:pPr>
                  </w:p>
                  <w:p w14:paraId="3168D5BE" w14:textId="77777777" w:rsidR="00657756" w:rsidRPr="005A30C4" w:rsidRDefault="00657756">
                    <w:pPr>
                      <w:rPr>
                        <w:sz w:val="18"/>
                        <w:szCs w:val="18"/>
                      </w:rPr>
                    </w:pPr>
                  </w:p>
                </w:txbxContent>
              </v:textbox>
            </v:shape>
          </w:pict>
        </mc:Fallback>
      </mc:AlternateContent>
    </w:r>
  </w:p>
  <w:p w14:paraId="067A9D4F" w14:textId="77777777" w:rsidR="00657756" w:rsidRDefault="00657756">
    <w:pPr>
      <w:pStyle w:val="Footer"/>
      <w:jc w:val="center"/>
      <w:rPr>
        <w:rFonts w:cs="Arial"/>
        <w:b/>
        <w:bCs/>
        <w:smallCaps/>
        <w:sz w:val="18"/>
      </w:rPr>
    </w:pPr>
    <w:r>
      <w:rPr>
        <w:rFonts w:cs="Arial"/>
        <w:b/>
        <w:bCs/>
        <w:smallCaps/>
        <w:sz w:val="18"/>
      </w:rPr>
      <w:t>Brubaker &amp; Associates, Inc.</w:t>
    </w:r>
  </w:p>
  <w:p w14:paraId="28F19413" w14:textId="77777777" w:rsidR="00657756" w:rsidRDefault="00657756"/>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356BA" w14:textId="77777777" w:rsidR="00657756" w:rsidRDefault="00657756">
    <w:pPr>
      <w:pStyle w:val="Footer"/>
      <w:jc w:val="center"/>
      <w:rPr>
        <w:rFonts w:cs="Arial"/>
        <w:b/>
        <w:bCs/>
        <w:smallCaps/>
        <w:sz w:val="18"/>
      </w:rPr>
    </w:pPr>
    <w:r>
      <w:rPr>
        <w:rFonts w:cs="Arial"/>
        <w:b/>
        <w:bCs/>
        <w:smallCaps/>
        <w:sz w:val="18"/>
      </w:rPr>
      <w:t>Brubaker &amp; Associates, Inc.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61E94" w14:textId="77777777" w:rsidR="00BE2C24" w:rsidRDefault="00BE2C24">
      <w:r>
        <w:separator/>
      </w:r>
    </w:p>
  </w:footnote>
  <w:footnote w:type="continuationSeparator" w:id="0">
    <w:p w14:paraId="29781FC1" w14:textId="77777777" w:rsidR="00BE2C24" w:rsidRDefault="00BE2C24">
      <w:r>
        <w:continuationSeparator/>
      </w:r>
    </w:p>
  </w:footnote>
  <w:footnote w:id="1">
    <w:p w14:paraId="285A11C0" w14:textId="26909E92" w:rsidR="00657756" w:rsidRPr="001B3BEE" w:rsidRDefault="00657756" w:rsidP="00D54B54">
      <w:pPr>
        <w:pStyle w:val="FootnoteText"/>
      </w:pPr>
      <w:r w:rsidRPr="001B3BEE">
        <w:rPr>
          <w:rStyle w:val="FootnoteReference"/>
        </w:rPr>
        <w:footnoteRef/>
      </w:r>
      <w:r w:rsidR="005A0488" w:rsidRPr="005A0488">
        <w:t>  </w:t>
      </w:r>
      <w:r w:rsidRPr="001B3BEE">
        <w:rPr>
          <w:i/>
        </w:rPr>
        <w:t xml:space="preserve">S&amp;P Global Market Intelligence, </w:t>
      </w:r>
      <w:proofErr w:type="spellStart"/>
      <w:r w:rsidRPr="001B3BEE">
        <w:rPr>
          <w:i/>
        </w:rPr>
        <w:t>RRA</w:t>
      </w:r>
      <w:proofErr w:type="spellEnd"/>
      <w:r w:rsidRPr="001B3BEE">
        <w:rPr>
          <w:i/>
        </w:rPr>
        <w:t xml:space="preserve"> Financial Focus</w:t>
      </w:r>
      <w:r w:rsidRPr="001B3BEE">
        <w:t xml:space="preserve">: </w:t>
      </w:r>
      <w:r>
        <w:t>“</w:t>
      </w:r>
      <w:r w:rsidRPr="001B3BEE">
        <w:t>Utility Capital Expenditures Update,</w:t>
      </w:r>
      <w:r>
        <w:t>”</w:t>
      </w:r>
      <w:r w:rsidRPr="001B3BEE">
        <w:t xml:space="preserve"> April 8, 2021</w:t>
      </w:r>
      <w:r w:rsidRPr="00F46454">
        <w:t>, at 1-2.</w:t>
      </w:r>
    </w:p>
  </w:footnote>
  <w:footnote w:id="2">
    <w:p w14:paraId="2267BE21" w14:textId="421CB85B" w:rsidR="00657756" w:rsidRPr="001B3BEE" w:rsidRDefault="00657756" w:rsidP="00D54B54">
      <w:pPr>
        <w:pStyle w:val="FootnoteText"/>
      </w:pPr>
      <w:r w:rsidRPr="001B3BEE">
        <w:rPr>
          <w:rStyle w:val="FootnoteReference"/>
        </w:rPr>
        <w:footnoteRef/>
      </w:r>
      <w:r w:rsidR="005A0488" w:rsidRPr="005A0488">
        <w:t>  </w:t>
      </w:r>
      <w:r>
        <w:t>Federal Reserve press release, July 28, 2021.</w:t>
      </w:r>
    </w:p>
  </w:footnote>
  <w:footnote w:id="3">
    <w:p w14:paraId="00F5C77E" w14:textId="17D5140C" w:rsidR="00657756" w:rsidRPr="009A19BC" w:rsidRDefault="00657756" w:rsidP="00D54B54">
      <w:pPr>
        <w:pStyle w:val="FootnoteText"/>
      </w:pPr>
      <w:r w:rsidRPr="001B3BEE">
        <w:rPr>
          <w:rStyle w:val="FootnoteReference"/>
        </w:rPr>
        <w:footnoteRef/>
      </w:r>
      <w:r w:rsidR="005A0488" w:rsidRPr="005A0488">
        <w:t>  </w:t>
      </w:r>
      <w:r>
        <w:rPr>
          <w:i/>
        </w:rPr>
        <w:t>Id</w:t>
      </w:r>
      <w:r>
        <w:t>.</w:t>
      </w:r>
    </w:p>
  </w:footnote>
  <w:footnote w:id="4">
    <w:p w14:paraId="3FBA89FF" w14:textId="06E03648" w:rsidR="00657756" w:rsidRDefault="00657756">
      <w:pPr>
        <w:pStyle w:val="FootnoteText"/>
      </w:pPr>
      <w:r>
        <w:rPr>
          <w:rStyle w:val="FootnoteReference"/>
        </w:rPr>
        <w:footnoteRef/>
      </w:r>
      <w:r w:rsidR="005A0488" w:rsidRPr="005A0488">
        <w:t>  </w:t>
      </w:r>
      <w:r>
        <w:t>The Economic Outlook and a Cautionary Tale on “Idiosyncratic” Price Changes and Inflation, Remarks by Christopher J. Waller, Member, Board of Governors of the Federal Reserve System at the Stanford Institute for Economic Policy Research Associates Meeting, Stanford, California, October 19, 2021.</w:t>
      </w:r>
    </w:p>
  </w:footnote>
  <w:footnote w:id="5">
    <w:p w14:paraId="6FF2D588" w14:textId="6DCE56AA" w:rsidR="00657756" w:rsidRPr="00D54B54" w:rsidRDefault="00657756">
      <w:pPr>
        <w:pStyle w:val="FootnoteText"/>
      </w:pPr>
      <w:r>
        <w:rPr>
          <w:rStyle w:val="FootnoteReference"/>
        </w:rPr>
        <w:footnoteRef/>
      </w:r>
      <w:r w:rsidR="005A0488" w:rsidRPr="005A0488">
        <w:t>  </w:t>
      </w:r>
      <w:r>
        <w:t>Federal Reserve press release, July 28, 2021</w:t>
      </w:r>
    </w:p>
  </w:footnote>
  <w:footnote w:id="6">
    <w:p w14:paraId="3760F669" w14:textId="0FBCEE08" w:rsidR="00657756" w:rsidRDefault="00657756" w:rsidP="006435B1">
      <w:pPr>
        <w:pStyle w:val="FootnoteText"/>
      </w:pPr>
      <w:r>
        <w:rPr>
          <w:rStyle w:val="FootnoteReference"/>
        </w:rPr>
        <w:footnoteRef/>
      </w:r>
      <w:r w:rsidR="005A0488" w:rsidRPr="005A0488">
        <w:t>  </w:t>
      </w:r>
      <w:r>
        <w:t>Public Utility Commission of Texas Docket No. 46831, December 18, 2017 Order at 5.</w:t>
      </w:r>
    </w:p>
  </w:footnote>
  <w:footnote w:id="7">
    <w:p w14:paraId="33164778" w14:textId="4F361326" w:rsidR="00657756" w:rsidRDefault="00657756" w:rsidP="006435B1">
      <w:pPr>
        <w:pStyle w:val="FootnoteText"/>
      </w:pPr>
      <w:r>
        <w:rPr>
          <w:rStyle w:val="FootnoteReference"/>
        </w:rPr>
        <w:footnoteRef/>
      </w:r>
      <w:r w:rsidR="005A0488" w:rsidRPr="005A0488">
        <w:t>  </w:t>
      </w:r>
      <w:r>
        <w:t>New Mexico Public Regulation Commission Docket No. 20-00104-UT, June 23, 2021 Order at 1-2.</w:t>
      </w:r>
    </w:p>
  </w:footnote>
  <w:footnote w:id="8">
    <w:p w14:paraId="0180C461" w14:textId="219D08BE" w:rsidR="00657756" w:rsidRDefault="00657756" w:rsidP="00D54B54">
      <w:pPr>
        <w:pStyle w:val="FootnoteText"/>
      </w:pPr>
      <w:r>
        <w:rPr>
          <w:rStyle w:val="FootnoteReference"/>
        </w:rPr>
        <w:footnoteRef/>
      </w:r>
      <w:r w:rsidR="005A0488" w:rsidRPr="005A0488">
        <w:t>  </w:t>
      </w:r>
      <w:proofErr w:type="spellStart"/>
      <w:r>
        <w:t>Budtke</w:t>
      </w:r>
      <w:proofErr w:type="spellEnd"/>
      <w:r>
        <w:t xml:space="preserve"> Direct Testimony </w:t>
      </w:r>
      <w:r w:rsidRPr="00352E2F">
        <w:t xml:space="preserve">at </w:t>
      </w:r>
      <w:r>
        <w:t>11</w:t>
      </w:r>
      <w:r w:rsidRPr="00352E2F">
        <w:t>.</w:t>
      </w:r>
    </w:p>
  </w:footnote>
  <w:footnote w:id="9">
    <w:p w14:paraId="43FA5BCF" w14:textId="3529CAB5" w:rsidR="00657756" w:rsidRPr="001B3BEE" w:rsidRDefault="00657756" w:rsidP="00D54B54">
      <w:pPr>
        <w:pStyle w:val="FootnoteText"/>
      </w:pPr>
      <w:r w:rsidRPr="001B3BEE">
        <w:rPr>
          <w:rStyle w:val="FootnoteReference"/>
        </w:rPr>
        <w:footnoteRef/>
      </w:r>
      <w:r w:rsidR="005A0488" w:rsidRPr="005A0488">
        <w:t>  </w:t>
      </w:r>
      <w:proofErr w:type="spellStart"/>
      <w:r>
        <w:t>FitchRatings</w:t>
      </w:r>
      <w:proofErr w:type="spellEnd"/>
      <w:r>
        <w:t xml:space="preserve">, </w:t>
      </w:r>
      <w:hyperlink r:id="rId1" w:history="1">
        <w:r>
          <w:rPr>
            <w:rStyle w:val="Hyperlink"/>
          </w:rPr>
          <w:t>Fitch Affirms El Paso Electric’s IDR at ‘BBB’; Outlook Stable (fitchratings.com)</w:t>
        </w:r>
      </w:hyperlink>
      <w:r>
        <w:t>, May 25, 2021 [emphasis added].</w:t>
      </w:r>
    </w:p>
  </w:footnote>
  <w:footnote w:id="10">
    <w:p w14:paraId="7A3FDB9B" w14:textId="4107398E" w:rsidR="002948F2" w:rsidRDefault="002948F2" w:rsidP="002948F2">
      <w:pPr>
        <w:pStyle w:val="FootnoteText"/>
      </w:pPr>
      <w:r>
        <w:rPr>
          <w:rStyle w:val="FootnoteReference"/>
        </w:rPr>
        <w:footnoteRef/>
      </w:r>
      <w:r w:rsidR="0091465A">
        <w:rPr>
          <w:i/>
        </w:rPr>
        <w:t>  </w:t>
      </w:r>
      <w:r>
        <w:rPr>
          <w:i/>
        </w:rPr>
        <w:t>Mood</w:t>
      </w:r>
      <w:bookmarkStart w:id="35" w:name="_GoBack"/>
      <w:bookmarkEnd w:id="35"/>
      <w:r>
        <w:rPr>
          <w:i/>
        </w:rPr>
        <w:t>y’s Investors Service Credit Opinion</w:t>
      </w:r>
      <w:r>
        <w:t xml:space="preserve">:  “El Paso Electric Company, Update to credit analysis,” September 21, 2020, provided by </w:t>
      </w:r>
      <w:proofErr w:type="spellStart"/>
      <w:r>
        <w:t>EPE</w:t>
      </w:r>
      <w:proofErr w:type="spellEnd"/>
      <w:r>
        <w:t xml:space="preserve"> as CONFIDENTIAL Response to </w:t>
      </w:r>
      <w:r>
        <w:rPr>
          <w:rFonts w:cs="Arial"/>
          <w:szCs w:val="22"/>
        </w:rPr>
        <w:t>Staff’s 2nd, Q. No. STAFF 2-36, Attachment 1, Pages 35-36.</w:t>
      </w:r>
    </w:p>
  </w:footnote>
  <w:footnote w:id="11">
    <w:p w14:paraId="3681CAE4" w14:textId="5A69FAB0" w:rsidR="00657756" w:rsidRPr="0051590C" w:rsidRDefault="00657756" w:rsidP="00D54B54">
      <w:pPr>
        <w:pStyle w:val="FootnoteText"/>
      </w:pPr>
      <w:r>
        <w:rPr>
          <w:rStyle w:val="FootnoteReference"/>
        </w:rPr>
        <w:footnoteRef/>
      </w:r>
      <w:r w:rsidR="005A0488" w:rsidRPr="005A0488">
        <w:t>  </w:t>
      </w:r>
      <w:r w:rsidRPr="0051590C">
        <w:rPr>
          <w:i/>
        </w:rPr>
        <w:t>B</w:t>
      </w:r>
      <w:r>
        <w:rPr>
          <w:i/>
        </w:rPr>
        <w:t xml:space="preserve">luefield, </w:t>
      </w:r>
      <w:r>
        <w:t>262 U.S. 679, 693 (1923), emphasis added.</w:t>
      </w:r>
    </w:p>
  </w:footnote>
  <w:footnote w:id="12">
    <w:p w14:paraId="2C51664B" w14:textId="2B8E28D8" w:rsidR="00657756" w:rsidRDefault="00657756" w:rsidP="00D54B54">
      <w:pPr>
        <w:pStyle w:val="FootnoteText"/>
      </w:pPr>
      <w:r>
        <w:rPr>
          <w:rStyle w:val="FootnoteReference"/>
        </w:rPr>
        <w:footnoteRef/>
      </w:r>
      <w:r w:rsidR="005A0488" w:rsidRPr="005A0488">
        <w:t>  </w:t>
      </w:r>
      <w:r>
        <w:t>Nelson Direct Testimony at 30, Table 5.</w:t>
      </w:r>
    </w:p>
  </w:footnote>
  <w:footnote w:id="13">
    <w:p w14:paraId="49CE2070" w14:textId="2EAAEAA8" w:rsidR="00657756" w:rsidRPr="007325DA" w:rsidRDefault="00657756" w:rsidP="00D54B54">
      <w:pPr>
        <w:pStyle w:val="FootnoteText"/>
        <w:rPr>
          <w:szCs w:val="22"/>
        </w:rPr>
      </w:pPr>
      <w:r w:rsidRPr="007325DA">
        <w:rPr>
          <w:rStyle w:val="FootnoteReference"/>
          <w:szCs w:val="22"/>
        </w:rPr>
        <w:footnoteRef/>
      </w:r>
      <w:r w:rsidR="005A0488" w:rsidRPr="005A0488">
        <w:t>  </w:t>
      </w:r>
      <w:r w:rsidRPr="003B7993">
        <w:rPr>
          <w:i/>
          <w:szCs w:val="22"/>
        </w:rPr>
        <w:t>The Value Line Investment Survey</w:t>
      </w:r>
      <w:r>
        <w:rPr>
          <w:szCs w:val="22"/>
        </w:rPr>
        <w:t xml:space="preserve">, </w:t>
      </w:r>
      <w:r w:rsidRPr="004E13B1">
        <w:rPr>
          <w:szCs w:val="22"/>
        </w:rPr>
        <w:t>June 11, July 23, and August 13, 2021</w:t>
      </w:r>
      <w:r w:rsidRPr="004B4D26">
        <w:rPr>
          <w:szCs w:val="22"/>
        </w:rPr>
        <w:t>.</w:t>
      </w:r>
    </w:p>
  </w:footnote>
  <w:footnote w:id="14">
    <w:p w14:paraId="03BF56B0" w14:textId="12FD3986" w:rsidR="00657756" w:rsidRPr="007325DA" w:rsidRDefault="00657756" w:rsidP="00D54B54">
      <w:pPr>
        <w:pStyle w:val="FootnoteText"/>
        <w:rPr>
          <w:szCs w:val="22"/>
        </w:rPr>
      </w:pPr>
      <w:r w:rsidRPr="007325DA">
        <w:rPr>
          <w:rStyle w:val="FootnoteReference"/>
          <w:szCs w:val="22"/>
        </w:rPr>
        <w:footnoteRef/>
      </w:r>
      <w:r w:rsidR="005A0488" w:rsidRPr="005A0488">
        <w:t>  </w:t>
      </w:r>
      <w:r w:rsidRPr="007325DA">
        <w:rPr>
          <w:i/>
          <w:iCs/>
          <w:szCs w:val="22"/>
        </w:rPr>
        <w:t>See, e.g.</w:t>
      </w:r>
      <w:r w:rsidRPr="007A06C7">
        <w:rPr>
          <w:szCs w:val="22"/>
        </w:rPr>
        <w:t xml:space="preserve">, </w:t>
      </w:r>
      <w:r w:rsidRPr="007325DA">
        <w:rPr>
          <w:szCs w:val="22"/>
        </w:rPr>
        <w:t>David Gordon, Myron Gordon</w:t>
      </w:r>
      <w:r>
        <w:rPr>
          <w:szCs w:val="22"/>
        </w:rPr>
        <w:t xml:space="preserve"> &amp;</w:t>
      </w:r>
      <w:r w:rsidRPr="007325DA">
        <w:rPr>
          <w:szCs w:val="22"/>
        </w:rPr>
        <w:t xml:space="preserve"> Lawrence Gould, </w:t>
      </w:r>
      <w:r>
        <w:rPr>
          <w:szCs w:val="22"/>
        </w:rPr>
        <w:t>“</w:t>
      </w:r>
      <w:r w:rsidRPr="007325DA">
        <w:rPr>
          <w:szCs w:val="22"/>
        </w:rPr>
        <w:t>Choice Among Methods of Estimating Share Yield,</w:t>
      </w:r>
      <w:r>
        <w:rPr>
          <w:szCs w:val="22"/>
        </w:rPr>
        <w:t>”</w:t>
      </w:r>
      <w:r w:rsidRPr="007325DA">
        <w:rPr>
          <w:szCs w:val="22"/>
        </w:rPr>
        <w:t xml:space="preserve"> </w:t>
      </w:r>
      <w:r w:rsidRPr="007325DA">
        <w:rPr>
          <w:i/>
          <w:szCs w:val="22"/>
        </w:rPr>
        <w:t>The Journal of Portfolio Management</w:t>
      </w:r>
      <w:r w:rsidRPr="007325DA">
        <w:rPr>
          <w:szCs w:val="22"/>
        </w:rPr>
        <w:t>, Spring 1989.</w:t>
      </w:r>
    </w:p>
  </w:footnote>
  <w:footnote w:id="15">
    <w:p w14:paraId="5E6D43ED" w14:textId="566534CC" w:rsidR="00657756" w:rsidRPr="007325DA" w:rsidRDefault="00657756" w:rsidP="00D54B54">
      <w:pPr>
        <w:pStyle w:val="FootnoteText"/>
        <w:rPr>
          <w:szCs w:val="22"/>
        </w:rPr>
      </w:pPr>
      <w:r w:rsidRPr="007325DA">
        <w:rPr>
          <w:rStyle w:val="FootnoteReference"/>
          <w:szCs w:val="22"/>
        </w:rPr>
        <w:footnoteRef/>
      </w:r>
      <w:r w:rsidR="005A0488" w:rsidRPr="005A0488">
        <w:t>  </w:t>
      </w:r>
      <w:r w:rsidRPr="007325DA">
        <w:rPr>
          <w:i/>
          <w:szCs w:val="22"/>
        </w:rPr>
        <w:t xml:space="preserve">Blue Chip </w:t>
      </w:r>
      <w:r>
        <w:rPr>
          <w:i/>
          <w:szCs w:val="22"/>
        </w:rPr>
        <w:t>Financial Forecasts</w:t>
      </w:r>
      <w:r w:rsidRPr="00780D26">
        <w:rPr>
          <w:szCs w:val="22"/>
        </w:rPr>
        <w:t>,</w:t>
      </w:r>
      <w:r w:rsidRPr="007325DA">
        <w:rPr>
          <w:szCs w:val="22"/>
        </w:rPr>
        <w:t xml:space="preserve"> </w:t>
      </w:r>
      <w:r>
        <w:rPr>
          <w:szCs w:val="22"/>
        </w:rPr>
        <w:t>June 1, 2021</w:t>
      </w:r>
      <w:r w:rsidRPr="007325DA">
        <w:rPr>
          <w:szCs w:val="22"/>
        </w:rPr>
        <w:t xml:space="preserve">, at 14. </w:t>
      </w:r>
    </w:p>
  </w:footnote>
  <w:footnote w:id="16">
    <w:p w14:paraId="20D3B876" w14:textId="4885494C" w:rsidR="00657756" w:rsidRPr="007325DA" w:rsidRDefault="00657756" w:rsidP="00D54B54">
      <w:pPr>
        <w:pStyle w:val="FootnoteText"/>
        <w:rPr>
          <w:szCs w:val="22"/>
        </w:rPr>
      </w:pPr>
      <w:r w:rsidRPr="007325DA">
        <w:rPr>
          <w:rStyle w:val="FootnoteReference"/>
          <w:szCs w:val="22"/>
        </w:rPr>
        <w:footnoteRef/>
      </w:r>
      <w:r w:rsidR="005A0488" w:rsidRPr="005A0488">
        <w:t>  </w:t>
      </w:r>
      <w:r>
        <w:rPr>
          <w:i/>
          <w:szCs w:val="22"/>
        </w:rPr>
        <w:t>“</w:t>
      </w:r>
      <w:r w:rsidRPr="007325DA">
        <w:rPr>
          <w:i/>
          <w:szCs w:val="22"/>
        </w:rPr>
        <w:t>Fundamentals of Financial Management</w:t>
      </w:r>
      <w:r w:rsidRPr="007325DA">
        <w:rPr>
          <w:szCs w:val="22"/>
        </w:rPr>
        <w:t>,</w:t>
      </w:r>
      <w:r>
        <w:rPr>
          <w:szCs w:val="22"/>
        </w:rPr>
        <w:t>”</w:t>
      </w:r>
      <w:r w:rsidRPr="007325DA">
        <w:rPr>
          <w:szCs w:val="22"/>
        </w:rPr>
        <w:t xml:space="preserve"> Eugene F. Brigham </w:t>
      </w:r>
      <w:r>
        <w:rPr>
          <w:szCs w:val="22"/>
        </w:rPr>
        <w:t>&amp;</w:t>
      </w:r>
      <w:r w:rsidRPr="007325DA">
        <w:rPr>
          <w:szCs w:val="22"/>
        </w:rPr>
        <w:t xml:space="preserve"> Joel F. Houston, Eleventh Edition 2007, Thomson South-Western, a Division of Thomson Corporation at 298, emphasis added.</w:t>
      </w:r>
    </w:p>
  </w:footnote>
  <w:footnote w:id="17">
    <w:p w14:paraId="755846C7" w14:textId="56DE44E6" w:rsidR="00657756" w:rsidRPr="007325DA" w:rsidRDefault="00657756" w:rsidP="00D54B54">
      <w:pPr>
        <w:pStyle w:val="FootnoteText"/>
        <w:rPr>
          <w:szCs w:val="22"/>
        </w:rPr>
      </w:pPr>
      <w:r w:rsidRPr="007325DA">
        <w:rPr>
          <w:rStyle w:val="FootnoteReference"/>
          <w:szCs w:val="22"/>
        </w:rPr>
        <w:footnoteRef/>
      </w:r>
      <w:r w:rsidR="005A0488" w:rsidRPr="005A0488">
        <w:t>  </w:t>
      </w:r>
      <w:r w:rsidRPr="007325DA">
        <w:rPr>
          <w:i/>
          <w:szCs w:val="22"/>
        </w:rPr>
        <w:t xml:space="preserve">Morningstar, Inc., Ibbotson </w:t>
      </w:r>
      <w:proofErr w:type="spellStart"/>
      <w:r w:rsidRPr="007325DA">
        <w:rPr>
          <w:i/>
          <w:szCs w:val="22"/>
        </w:rPr>
        <w:t>SBBI</w:t>
      </w:r>
      <w:proofErr w:type="spellEnd"/>
      <w:r w:rsidRPr="007325DA">
        <w:rPr>
          <w:i/>
          <w:szCs w:val="22"/>
        </w:rPr>
        <w:t xml:space="preserve"> 2013 Valuation Yearbook</w:t>
      </w:r>
      <w:r w:rsidRPr="007325DA">
        <w:rPr>
          <w:szCs w:val="22"/>
        </w:rPr>
        <w:t xml:space="preserve"> at 51 and 52.</w:t>
      </w:r>
    </w:p>
  </w:footnote>
  <w:footnote w:id="18">
    <w:p w14:paraId="56A03E2C" w14:textId="42A3FC13" w:rsidR="00657756" w:rsidRPr="007325DA" w:rsidRDefault="00657756" w:rsidP="00D54B54">
      <w:pPr>
        <w:pStyle w:val="FootnoteText"/>
        <w:rPr>
          <w:szCs w:val="22"/>
        </w:rPr>
      </w:pPr>
      <w:r w:rsidRPr="007325DA">
        <w:rPr>
          <w:rStyle w:val="FootnoteReference"/>
          <w:szCs w:val="22"/>
        </w:rPr>
        <w:footnoteRef/>
      </w:r>
      <w:r w:rsidR="005A0488" w:rsidRPr="005A0488">
        <w:t>  </w:t>
      </w:r>
      <w:r w:rsidRPr="007325DA">
        <w:rPr>
          <w:i/>
          <w:szCs w:val="22"/>
        </w:rPr>
        <w:t>Duff &amp; Phelps, 20</w:t>
      </w:r>
      <w:r>
        <w:rPr>
          <w:i/>
          <w:szCs w:val="22"/>
        </w:rPr>
        <w:t>21</w:t>
      </w:r>
      <w:r w:rsidRPr="007325DA">
        <w:rPr>
          <w:i/>
          <w:szCs w:val="22"/>
        </w:rPr>
        <w:t xml:space="preserve"> </w:t>
      </w:r>
      <w:proofErr w:type="spellStart"/>
      <w:r w:rsidRPr="007325DA">
        <w:rPr>
          <w:i/>
          <w:szCs w:val="22"/>
        </w:rPr>
        <w:t>SBBI</w:t>
      </w:r>
      <w:proofErr w:type="spellEnd"/>
      <w:r w:rsidRPr="007325DA">
        <w:rPr>
          <w:i/>
          <w:szCs w:val="22"/>
        </w:rPr>
        <w:t xml:space="preserve"> Yearbook</w:t>
      </w:r>
      <w:r w:rsidRPr="007325DA">
        <w:rPr>
          <w:szCs w:val="22"/>
        </w:rPr>
        <w:t xml:space="preserve"> at 6-17.</w:t>
      </w:r>
    </w:p>
  </w:footnote>
  <w:footnote w:id="19">
    <w:p w14:paraId="5C7DFDD1" w14:textId="3A0D0695" w:rsidR="00657756" w:rsidRPr="007325DA" w:rsidRDefault="00657756" w:rsidP="00D54B54">
      <w:pPr>
        <w:pStyle w:val="FootnoteText"/>
        <w:rPr>
          <w:szCs w:val="22"/>
        </w:rPr>
      </w:pPr>
      <w:r w:rsidRPr="00121125">
        <w:rPr>
          <w:rStyle w:val="FootnoteReference"/>
          <w:szCs w:val="22"/>
        </w:rPr>
        <w:footnoteRef/>
      </w:r>
      <w:r w:rsidR="005A0488" w:rsidRPr="005A0488">
        <w:t>  </w:t>
      </w:r>
      <w:r w:rsidRPr="00121125">
        <w:rPr>
          <w:szCs w:val="22"/>
        </w:rPr>
        <w:t>U.S. Bureau of Economic Analysis, January 28, 2021.</w:t>
      </w:r>
      <w:r>
        <w:rPr>
          <w:szCs w:val="22"/>
        </w:rPr>
        <w:t xml:space="preserve"> </w:t>
      </w:r>
    </w:p>
  </w:footnote>
  <w:footnote w:id="20">
    <w:p w14:paraId="687F20FA" w14:textId="5417B07E" w:rsidR="00657756" w:rsidRPr="007325DA" w:rsidRDefault="00657756" w:rsidP="00D54B54">
      <w:pPr>
        <w:pStyle w:val="FootnoteText"/>
        <w:rPr>
          <w:szCs w:val="22"/>
        </w:rPr>
      </w:pPr>
      <w:r w:rsidRPr="007325DA">
        <w:rPr>
          <w:rStyle w:val="FootnoteReference"/>
          <w:szCs w:val="22"/>
        </w:rPr>
        <w:footnoteRef/>
      </w:r>
      <w:r w:rsidR="005A0488" w:rsidRPr="005A0488">
        <w:t>  </w:t>
      </w:r>
      <w:r w:rsidRPr="007325DA">
        <w:rPr>
          <w:i/>
          <w:szCs w:val="22"/>
        </w:rPr>
        <w:t>New Regulatory Finance</w:t>
      </w:r>
      <w:r w:rsidRPr="007325DA">
        <w:rPr>
          <w:szCs w:val="22"/>
        </w:rPr>
        <w:t>, Roger Morin, PhD, at 133-134.</w:t>
      </w:r>
    </w:p>
  </w:footnote>
  <w:footnote w:id="21">
    <w:p w14:paraId="7020FFCB" w14:textId="36EAA29F" w:rsidR="00657756" w:rsidRPr="007325DA" w:rsidRDefault="00657756" w:rsidP="00D54B54">
      <w:pPr>
        <w:pStyle w:val="FootnoteText"/>
        <w:rPr>
          <w:szCs w:val="22"/>
        </w:rPr>
      </w:pPr>
      <w:r w:rsidRPr="007325DA">
        <w:rPr>
          <w:rStyle w:val="FootnoteReference"/>
          <w:szCs w:val="22"/>
        </w:rPr>
        <w:footnoteRef/>
      </w:r>
      <w:r w:rsidR="005A0488" w:rsidRPr="005A0488">
        <w:t>  </w:t>
      </w:r>
      <w:r w:rsidRPr="007325DA">
        <w:rPr>
          <w:i/>
          <w:szCs w:val="22"/>
        </w:rPr>
        <w:t xml:space="preserve">Blue Chip </w:t>
      </w:r>
      <w:r>
        <w:rPr>
          <w:rFonts w:cs="Arial"/>
          <w:i/>
          <w:szCs w:val="22"/>
        </w:rPr>
        <w:t>Financial Forecasts</w:t>
      </w:r>
      <w:r w:rsidRPr="007325DA">
        <w:rPr>
          <w:szCs w:val="22"/>
        </w:rPr>
        <w:t xml:space="preserve">, </w:t>
      </w:r>
      <w:r>
        <w:rPr>
          <w:szCs w:val="22"/>
        </w:rPr>
        <w:t>June 1, 2021</w:t>
      </w:r>
      <w:r w:rsidRPr="007325DA">
        <w:rPr>
          <w:szCs w:val="22"/>
        </w:rPr>
        <w:t>, at 14.</w:t>
      </w:r>
    </w:p>
  </w:footnote>
  <w:footnote w:id="22">
    <w:p w14:paraId="14B3125D" w14:textId="2A0F2CA7" w:rsidR="00657756" w:rsidRPr="007325DA" w:rsidRDefault="00657756" w:rsidP="008C51B4">
      <w:pPr>
        <w:pStyle w:val="FootnoteText"/>
        <w:rPr>
          <w:szCs w:val="22"/>
        </w:rPr>
      </w:pPr>
      <w:r w:rsidRPr="007325DA">
        <w:rPr>
          <w:rStyle w:val="FootnoteReference"/>
          <w:szCs w:val="22"/>
        </w:rPr>
        <w:footnoteRef/>
      </w:r>
      <w:r w:rsidR="005A0488" w:rsidRPr="005A0488">
        <w:t>  </w:t>
      </w:r>
      <w:r w:rsidRPr="007325DA">
        <w:rPr>
          <w:i/>
          <w:szCs w:val="22"/>
        </w:rPr>
        <w:t>Id.</w:t>
      </w:r>
    </w:p>
  </w:footnote>
  <w:footnote w:id="23">
    <w:p w14:paraId="1004D47C" w14:textId="169675F1" w:rsidR="00657756" w:rsidRPr="007325DA" w:rsidRDefault="00657756" w:rsidP="00D54B54">
      <w:pPr>
        <w:pStyle w:val="FootnoteText"/>
        <w:rPr>
          <w:szCs w:val="22"/>
        </w:rPr>
      </w:pPr>
      <w:r w:rsidRPr="007325DA">
        <w:rPr>
          <w:rStyle w:val="FootnoteReference"/>
          <w:szCs w:val="22"/>
        </w:rPr>
        <w:footnoteRef/>
      </w:r>
      <w:r w:rsidR="005A0488" w:rsidRPr="005A0488">
        <w:t>  </w:t>
      </w:r>
      <w:r>
        <w:rPr>
          <w:i/>
          <w:szCs w:val="22"/>
        </w:rPr>
        <w:t>Id</w:t>
      </w:r>
      <w:r>
        <w:rPr>
          <w:szCs w:val="22"/>
        </w:rPr>
        <w:t xml:space="preserve">. and </w:t>
      </w:r>
      <w:r w:rsidRPr="007325DA">
        <w:rPr>
          <w:szCs w:val="22"/>
        </w:rPr>
        <w:t>DO</w:t>
      </w:r>
      <w:r>
        <w:rPr>
          <w:szCs w:val="22"/>
        </w:rPr>
        <w:t>E/</w:t>
      </w:r>
      <w:proofErr w:type="spellStart"/>
      <w:r>
        <w:rPr>
          <w:szCs w:val="22"/>
        </w:rPr>
        <w:t>EIA</w:t>
      </w:r>
      <w:proofErr w:type="spellEnd"/>
      <w:r>
        <w:rPr>
          <w:szCs w:val="22"/>
        </w:rPr>
        <w:t xml:space="preserve"> Annual Energy Outlook 2020</w:t>
      </w:r>
      <w:r w:rsidRPr="007325DA">
        <w:rPr>
          <w:szCs w:val="22"/>
        </w:rPr>
        <w:t xml:space="preserve"> With Pr</w:t>
      </w:r>
      <w:r>
        <w:rPr>
          <w:szCs w:val="22"/>
        </w:rPr>
        <w:t>ojections to 2050, downloaded May 5 2021</w:t>
      </w:r>
      <w:r w:rsidRPr="007325DA">
        <w:rPr>
          <w:szCs w:val="22"/>
        </w:rPr>
        <w:t xml:space="preserve">, Table Macroeconomic Indicators. </w:t>
      </w:r>
    </w:p>
  </w:footnote>
  <w:footnote w:id="24">
    <w:p w14:paraId="24583FDD" w14:textId="2E5280AF" w:rsidR="00657756" w:rsidRPr="007325DA" w:rsidRDefault="00657756" w:rsidP="00D54B54">
      <w:pPr>
        <w:pStyle w:val="FootnoteText"/>
        <w:rPr>
          <w:szCs w:val="22"/>
        </w:rPr>
      </w:pPr>
      <w:r w:rsidRPr="007325DA">
        <w:rPr>
          <w:rStyle w:val="FootnoteReference"/>
          <w:szCs w:val="22"/>
        </w:rPr>
        <w:footnoteRef/>
      </w:r>
      <w:r w:rsidR="005A0488" w:rsidRPr="005A0488">
        <w:t>  </w:t>
      </w:r>
      <w:r w:rsidRPr="007325DA">
        <w:rPr>
          <w:bCs/>
          <w:i/>
          <w:szCs w:val="22"/>
        </w:rPr>
        <w:t>CBO:</w:t>
      </w:r>
      <w:r w:rsidRPr="007325DA">
        <w:rPr>
          <w:i/>
          <w:szCs w:val="22"/>
        </w:rPr>
        <w:t xml:space="preserve">  </w:t>
      </w:r>
      <w:r w:rsidRPr="007521E4">
        <w:rPr>
          <w:i/>
          <w:szCs w:val="22"/>
        </w:rPr>
        <w:t>An Upda</w:t>
      </w:r>
      <w:r>
        <w:rPr>
          <w:i/>
          <w:szCs w:val="22"/>
        </w:rPr>
        <w:t>te to the Economic Outlook: 2021 to 2031</w:t>
      </w:r>
      <w:r>
        <w:rPr>
          <w:szCs w:val="22"/>
        </w:rPr>
        <w:t>, February 2021</w:t>
      </w:r>
      <w:r w:rsidRPr="007325DA">
        <w:rPr>
          <w:szCs w:val="22"/>
        </w:rPr>
        <w:t>.</w:t>
      </w:r>
    </w:p>
  </w:footnote>
  <w:footnote w:id="25">
    <w:p w14:paraId="6896B835" w14:textId="483780A7" w:rsidR="00657756" w:rsidRPr="00583C1B" w:rsidRDefault="00657756" w:rsidP="00D54B54">
      <w:pPr>
        <w:pStyle w:val="FootnoteText"/>
        <w:rPr>
          <w:szCs w:val="22"/>
        </w:rPr>
      </w:pPr>
      <w:r w:rsidRPr="00330C41">
        <w:rPr>
          <w:rStyle w:val="FootnoteReference"/>
          <w:szCs w:val="22"/>
        </w:rPr>
        <w:footnoteRef/>
      </w:r>
      <w:r w:rsidR="005A0488" w:rsidRPr="005A0488">
        <w:t>  </w:t>
      </w:r>
      <w:hyperlink r:id="rId2" w:history="1">
        <w:r w:rsidRPr="00330C41">
          <w:rPr>
            <w:rStyle w:val="Hyperlink"/>
            <w:szCs w:val="22"/>
          </w:rPr>
          <w:t>www.economy.com</w:t>
        </w:r>
      </w:hyperlink>
      <w:r w:rsidRPr="00330C41">
        <w:rPr>
          <w:szCs w:val="22"/>
        </w:rPr>
        <w:t xml:space="preserve">, </w:t>
      </w:r>
      <w:r w:rsidRPr="00330C41">
        <w:rPr>
          <w:i/>
          <w:szCs w:val="22"/>
        </w:rPr>
        <w:t>Moody</w:t>
      </w:r>
      <w:r>
        <w:rPr>
          <w:i/>
          <w:szCs w:val="22"/>
        </w:rPr>
        <w:t>’</w:t>
      </w:r>
      <w:r w:rsidRPr="00330C41">
        <w:rPr>
          <w:i/>
          <w:szCs w:val="22"/>
        </w:rPr>
        <w:t>s Analytics Forecast</w:t>
      </w:r>
      <w:r w:rsidRPr="00330C41">
        <w:rPr>
          <w:szCs w:val="22"/>
        </w:rPr>
        <w:t xml:space="preserve">, </w:t>
      </w:r>
      <w:r>
        <w:rPr>
          <w:szCs w:val="22"/>
        </w:rPr>
        <w:t>May 11</w:t>
      </w:r>
      <w:r w:rsidRPr="00330C41">
        <w:rPr>
          <w:szCs w:val="22"/>
        </w:rPr>
        <w:t>, 20</w:t>
      </w:r>
      <w:r>
        <w:rPr>
          <w:szCs w:val="22"/>
        </w:rPr>
        <w:t>20</w:t>
      </w:r>
      <w:r w:rsidRPr="00330C41">
        <w:rPr>
          <w:szCs w:val="22"/>
        </w:rPr>
        <w:t>.</w:t>
      </w:r>
    </w:p>
  </w:footnote>
  <w:footnote w:id="26">
    <w:p w14:paraId="7925A88F" w14:textId="739C75AA" w:rsidR="00657756" w:rsidRPr="00583C1B" w:rsidRDefault="00657756" w:rsidP="00D54B54">
      <w:pPr>
        <w:pStyle w:val="FootnoteText"/>
        <w:rPr>
          <w:szCs w:val="22"/>
        </w:rPr>
      </w:pPr>
      <w:r w:rsidRPr="00330C41">
        <w:rPr>
          <w:rStyle w:val="FootnoteReference"/>
          <w:szCs w:val="22"/>
        </w:rPr>
        <w:footnoteRef/>
      </w:r>
      <w:r w:rsidR="005A0488" w:rsidRPr="005A0488">
        <w:t>  </w:t>
      </w:r>
      <w:hyperlink r:id="rId3" w:history="1">
        <w:r w:rsidRPr="00330C41">
          <w:rPr>
            <w:rStyle w:val="Hyperlink"/>
            <w:szCs w:val="22"/>
          </w:rPr>
          <w:t>www.ssa.gov</w:t>
        </w:r>
      </w:hyperlink>
      <w:r w:rsidRPr="00330C41">
        <w:rPr>
          <w:szCs w:val="22"/>
        </w:rPr>
        <w:t xml:space="preserve">, </w:t>
      </w:r>
      <w:r>
        <w:rPr>
          <w:szCs w:val="22"/>
        </w:rPr>
        <w:t>“</w:t>
      </w:r>
      <w:r w:rsidRPr="00330C41">
        <w:rPr>
          <w:szCs w:val="22"/>
        </w:rPr>
        <w:t>20</w:t>
      </w:r>
      <w:r>
        <w:rPr>
          <w:szCs w:val="22"/>
        </w:rPr>
        <w:t>21</w:t>
      </w:r>
      <w:r w:rsidRPr="00330C41">
        <w:rPr>
          <w:szCs w:val="22"/>
        </w:rPr>
        <w:t xml:space="preserve"> OASD</w:t>
      </w:r>
      <w:r>
        <w:rPr>
          <w:szCs w:val="22"/>
        </w:rPr>
        <w:t>I Trustees Report,” Table VI.G4, August 31, 2021.</w:t>
      </w:r>
    </w:p>
  </w:footnote>
  <w:footnote w:id="27">
    <w:p w14:paraId="34C077F3" w14:textId="53A4AA6B" w:rsidR="00657756" w:rsidRPr="007325DA" w:rsidRDefault="00657756" w:rsidP="00D54B54">
      <w:pPr>
        <w:pStyle w:val="FootnoteText"/>
        <w:rPr>
          <w:szCs w:val="22"/>
        </w:rPr>
      </w:pPr>
      <w:r w:rsidRPr="007325DA">
        <w:rPr>
          <w:rStyle w:val="FootnoteReference"/>
          <w:szCs w:val="22"/>
        </w:rPr>
        <w:footnoteRef/>
      </w:r>
      <w:r w:rsidR="005A0488" w:rsidRPr="005A0488">
        <w:t>  </w:t>
      </w:r>
      <w:r w:rsidRPr="007325DA">
        <w:rPr>
          <w:i/>
          <w:szCs w:val="22"/>
        </w:rPr>
        <w:t>S&amp;P Global Market Intelligence, Economist Intelligence Unit</w:t>
      </w:r>
      <w:r w:rsidRPr="007325DA">
        <w:rPr>
          <w:szCs w:val="22"/>
        </w:rPr>
        <w:t>,</w:t>
      </w:r>
      <w:r>
        <w:rPr>
          <w:szCs w:val="22"/>
        </w:rPr>
        <w:t xml:space="preserve"> downloaded on January 28, 2021</w:t>
      </w:r>
      <w:r w:rsidRPr="007325DA">
        <w:rPr>
          <w:szCs w:val="22"/>
        </w:rPr>
        <w:t>.</w:t>
      </w:r>
      <w:r>
        <w:rPr>
          <w:szCs w:val="22"/>
        </w:rPr>
        <w:t xml:space="preserve"> </w:t>
      </w:r>
    </w:p>
  </w:footnote>
  <w:footnote w:id="28">
    <w:p w14:paraId="56C684CF" w14:textId="7BA37D4F" w:rsidR="00657756" w:rsidRDefault="00657756" w:rsidP="00D54B54">
      <w:pPr>
        <w:pStyle w:val="FootnoteText"/>
      </w:pPr>
      <w:r w:rsidRPr="007325DA">
        <w:rPr>
          <w:rStyle w:val="FootnoteReference"/>
          <w:szCs w:val="22"/>
        </w:rPr>
        <w:footnoteRef/>
      </w:r>
      <w:r w:rsidR="005A0488" w:rsidRPr="005A0488">
        <w:t>  </w:t>
      </w:r>
      <w:r w:rsidRPr="007325DA">
        <w:rPr>
          <w:i/>
          <w:szCs w:val="22"/>
        </w:rPr>
        <w:t>Blue Chip Financial Forecasts</w:t>
      </w:r>
      <w:r w:rsidRPr="007325DA">
        <w:rPr>
          <w:szCs w:val="22"/>
        </w:rPr>
        <w:t xml:space="preserve">, </w:t>
      </w:r>
      <w:r>
        <w:rPr>
          <w:szCs w:val="22"/>
        </w:rPr>
        <w:t>September 1</w:t>
      </w:r>
      <w:r w:rsidRPr="007325DA">
        <w:rPr>
          <w:szCs w:val="22"/>
        </w:rPr>
        <w:t xml:space="preserve">, </w:t>
      </w:r>
      <w:r>
        <w:rPr>
          <w:szCs w:val="22"/>
        </w:rPr>
        <w:t>2021</w:t>
      </w:r>
      <w:r w:rsidRPr="007325DA">
        <w:rPr>
          <w:szCs w:val="22"/>
        </w:rPr>
        <w:t xml:space="preserve"> at 2.</w:t>
      </w:r>
    </w:p>
  </w:footnote>
  <w:footnote w:id="29">
    <w:p w14:paraId="18E1E9BF" w14:textId="33FA02DD" w:rsidR="00657756" w:rsidRPr="007325DA" w:rsidRDefault="00657756" w:rsidP="00D54B54">
      <w:pPr>
        <w:pStyle w:val="FootnoteText"/>
        <w:rPr>
          <w:szCs w:val="22"/>
        </w:rPr>
      </w:pPr>
      <w:r w:rsidRPr="007325DA">
        <w:rPr>
          <w:rStyle w:val="FootnoteReference"/>
          <w:szCs w:val="22"/>
        </w:rPr>
        <w:footnoteRef/>
      </w:r>
      <w:r w:rsidR="005A0488" w:rsidRPr="005A0488">
        <w:t>  </w:t>
      </w:r>
      <w:r w:rsidR="008C4BD5">
        <w:rPr>
          <w:i/>
          <w:szCs w:val="22"/>
        </w:rPr>
        <w:t>Id</w:t>
      </w:r>
      <w:r w:rsidRPr="007325DA">
        <w:rPr>
          <w:szCs w:val="22"/>
        </w:rPr>
        <w:t>.</w:t>
      </w:r>
    </w:p>
  </w:footnote>
  <w:footnote w:id="30">
    <w:p w14:paraId="2DD0F11F" w14:textId="4BBBB3D2" w:rsidR="00657756" w:rsidRPr="007325DA" w:rsidRDefault="00657756" w:rsidP="00D54B54">
      <w:pPr>
        <w:pStyle w:val="FootnoteText"/>
        <w:rPr>
          <w:szCs w:val="22"/>
        </w:rPr>
      </w:pPr>
      <w:r w:rsidRPr="007325DA">
        <w:rPr>
          <w:rStyle w:val="FootnoteReference"/>
          <w:szCs w:val="22"/>
        </w:rPr>
        <w:footnoteRef/>
      </w:r>
      <w:r w:rsidR="005A0488" w:rsidRPr="005A0488">
        <w:t>  </w:t>
      </w:r>
      <w:r w:rsidRPr="007325DA">
        <w:rPr>
          <w:szCs w:val="22"/>
        </w:rPr>
        <w:t>Duff &amp; Phelps</w:t>
      </w:r>
      <w:r w:rsidRPr="007325DA">
        <w:rPr>
          <w:i/>
          <w:szCs w:val="22"/>
        </w:rPr>
        <w:t>, 20</w:t>
      </w:r>
      <w:r>
        <w:rPr>
          <w:i/>
          <w:szCs w:val="22"/>
        </w:rPr>
        <w:t>21</w:t>
      </w:r>
      <w:r w:rsidRPr="007325DA">
        <w:rPr>
          <w:i/>
          <w:szCs w:val="22"/>
        </w:rPr>
        <w:t xml:space="preserve"> </w:t>
      </w:r>
      <w:proofErr w:type="spellStart"/>
      <w:r w:rsidRPr="007325DA">
        <w:rPr>
          <w:i/>
          <w:szCs w:val="22"/>
        </w:rPr>
        <w:t>SBBI</w:t>
      </w:r>
      <w:proofErr w:type="spellEnd"/>
      <w:r w:rsidRPr="007325DA">
        <w:rPr>
          <w:i/>
          <w:szCs w:val="22"/>
        </w:rPr>
        <w:t xml:space="preserve"> Yearbook at 6-18.</w:t>
      </w:r>
    </w:p>
  </w:footnote>
  <w:footnote w:id="31">
    <w:p w14:paraId="43BEF699" w14:textId="39CABC3D" w:rsidR="00657756" w:rsidRPr="007325DA" w:rsidRDefault="00657756" w:rsidP="00D54B54">
      <w:pPr>
        <w:pStyle w:val="FootnoteText"/>
        <w:rPr>
          <w:szCs w:val="22"/>
        </w:rPr>
      </w:pPr>
      <w:r w:rsidRPr="007325DA">
        <w:rPr>
          <w:rStyle w:val="FootnoteReference"/>
          <w:szCs w:val="22"/>
        </w:rPr>
        <w:footnoteRef/>
      </w:r>
      <w:r w:rsidR="005A0488" w:rsidRPr="005A0488">
        <w:t>  </w:t>
      </w:r>
      <w:r w:rsidRPr="007325DA">
        <w:rPr>
          <w:i/>
          <w:szCs w:val="22"/>
        </w:rPr>
        <w:t>Blue Chip Financial Forecasts</w:t>
      </w:r>
      <w:r w:rsidRPr="007325DA">
        <w:rPr>
          <w:szCs w:val="22"/>
        </w:rPr>
        <w:t xml:space="preserve">, </w:t>
      </w:r>
      <w:r>
        <w:rPr>
          <w:szCs w:val="22"/>
        </w:rPr>
        <w:t>September 1, 2021</w:t>
      </w:r>
      <w:r w:rsidRPr="007325DA">
        <w:rPr>
          <w:szCs w:val="22"/>
        </w:rPr>
        <w:t xml:space="preserve"> at 2.</w:t>
      </w:r>
    </w:p>
  </w:footnote>
  <w:footnote w:id="32">
    <w:p w14:paraId="1007183D" w14:textId="2592C1B8" w:rsidR="00657756" w:rsidRPr="007325DA" w:rsidRDefault="00657756" w:rsidP="00D54B54">
      <w:pPr>
        <w:pStyle w:val="FootnoteText"/>
        <w:rPr>
          <w:szCs w:val="22"/>
        </w:rPr>
      </w:pPr>
      <w:r w:rsidRPr="007325DA">
        <w:rPr>
          <w:rStyle w:val="FootnoteReference"/>
          <w:szCs w:val="22"/>
        </w:rPr>
        <w:footnoteRef/>
      </w:r>
      <w:r w:rsidR="005A0488" w:rsidRPr="005A0488">
        <w:t>  </w:t>
      </w:r>
      <w:r w:rsidRPr="007325DA">
        <w:rPr>
          <w:szCs w:val="22"/>
        </w:rPr>
        <w:t>{ (1 + 0.0</w:t>
      </w:r>
      <w:r>
        <w:rPr>
          <w:szCs w:val="22"/>
        </w:rPr>
        <w:t>91</w:t>
      </w:r>
      <w:r w:rsidRPr="007325DA">
        <w:rPr>
          <w:szCs w:val="22"/>
        </w:rPr>
        <w:t xml:space="preserve">) </w:t>
      </w:r>
      <w:r w:rsidRPr="007325DA">
        <w:rPr>
          <w:rFonts w:ascii="Symbol" w:hAnsi="Symbol"/>
          <w:szCs w:val="22"/>
        </w:rPr>
        <w:sym w:font="Symbol" w:char="F02A"/>
      </w:r>
      <w:r w:rsidRPr="007325DA">
        <w:rPr>
          <w:szCs w:val="22"/>
        </w:rPr>
        <w:t xml:space="preserve"> (1 + 0.02</w:t>
      </w:r>
      <w:r>
        <w:rPr>
          <w:szCs w:val="22"/>
        </w:rPr>
        <w:t>2</w:t>
      </w:r>
      <w:r w:rsidRPr="007325DA">
        <w:rPr>
          <w:szCs w:val="22"/>
        </w:rPr>
        <w:t xml:space="preserve">) – 1 } </w:t>
      </w:r>
      <w:r w:rsidRPr="007325DA">
        <w:rPr>
          <w:rFonts w:ascii="Symbol" w:hAnsi="Symbol"/>
          <w:szCs w:val="22"/>
        </w:rPr>
        <w:sym w:font="Symbol" w:char="F02A"/>
      </w:r>
      <w:r w:rsidRPr="007325DA">
        <w:rPr>
          <w:szCs w:val="22"/>
        </w:rPr>
        <w:t xml:space="preserve"> 100.</w:t>
      </w:r>
    </w:p>
  </w:footnote>
  <w:footnote w:id="33">
    <w:p w14:paraId="7B3988AA" w14:textId="4323ACEE" w:rsidR="00657756" w:rsidRPr="007325DA" w:rsidRDefault="00657756" w:rsidP="00D54B54">
      <w:pPr>
        <w:pStyle w:val="FootnoteText"/>
        <w:rPr>
          <w:szCs w:val="22"/>
        </w:rPr>
      </w:pPr>
      <w:r w:rsidRPr="007325DA">
        <w:rPr>
          <w:rStyle w:val="FootnoteReference"/>
          <w:szCs w:val="22"/>
        </w:rPr>
        <w:footnoteRef/>
      </w:r>
      <w:r w:rsidR="005A0488" w:rsidRPr="005A0488">
        <w:t>  </w:t>
      </w:r>
      <w:r w:rsidRPr="00002806">
        <w:rPr>
          <w:i/>
          <w:szCs w:val="22"/>
        </w:rPr>
        <w:t>Duff &amp; Phelps</w:t>
      </w:r>
      <w:r w:rsidRPr="007325DA">
        <w:rPr>
          <w:i/>
          <w:szCs w:val="22"/>
        </w:rPr>
        <w:t xml:space="preserve"> 20</w:t>
      </w:r>
      <w:r>
        <w:rPr>
          <w:i/>
          <w:szCs w:val="22"/>
        </w:rPr>
        <w:t>21</w:t>
      </w:r>
      <w:r w:rsidRPr="007325DA">
        <w:rPr>
          <w:i/>
          <w:szCs w:val="22"/>
        </w:rPr>
        <w:t xml:space="preserve"> </w:t>
      </w:r>
      <w:proofErr w:type="spellStart"/>
      <w:r>
        <w:rPr>
          <w:i/>
          <w:szCs w:val="22"/>
        </w:rPr>
        <w:t>SBBI</w:t>
      </w:r>
      <w:proofErr w:type="spellEnd"/>
      <w:r>
        <w:rPr>
          <w:i/>
          <w:szCs w:val="22"/>
        </w:rPr>
        <w:t xml:space="preserve"> </w:t>
      </w:r>
      <w:r w:rsidRPr="007325DA">
        <w:rPr>
          <w:i/>
          <w:szCs w:val="22"/>
        </w:rPr>
        <w:t xml:space="preserve">Yearbook </w:t>
      </w:r>
      <w:r w:rsidRPr="00002806">
        <w:rPr>
          <w:szCs w:val="22"/>
        </w:rPr>
        <w:t>at 6-17</w:t>
      </w:r>
      <w:r w:rsidRPr="007325DA">
        <w:rPr>
          <w:szCs w:val="22"/>
        </w:rPr>
        <w:t>.</w:t>
      </w:r>
    </w:p>
  </w:footnote>
  <w:footnote w:id="34">
    <w:p w14:paraId="693CDDE9" w14:textId="389A9983" w:rsidR="00657756" w:rsidRPr="007325DA" w:rsidRDefault="00657756" w:rsidP="00D54B54">
      <w:pPr>
        <w:pStyle w:val="FootnoteText"/>
        <w:rPr>
          <w:i/>
          <w:szCs w:val="22"/>
        </w:rPr>
      </w:pPr>
      <w:r w:rsidRPr="007325DA">
        <w:rPr>
          <w:rStyle w:val="FootnoteReference"/>
          <w:szCs w:val="22"/>
        </w:rPr>
        <w:footnoteRef/>
      </w:r>
      <w:r w:rsidR="005A0488" w:rsidRPr="005A0488">
        <w:t>  </w:t>
      </w:r>
      <w:r w:rsidRPr="007325DA">
        <w:rPr>
          <w:i/>
          <w:szCs w:val="22"/>
        </w:rPr>
        <w:t>Id.</w:t>
      </w:r>
    </w:p>
  </w:footnote>
  <w:footnote w:id="35">
    <w:p w14:paraId="5F1A3319" w14:textId="1C157548" w:rsidR="00657756" w:rsidRPr="007325DA" w:rsidRDefault="00657756" w:rsidP="00D54B54">
      <w:pPr>
        <w:pStyle w:val="FootnoteText"/>
        <w:rPr>
          <w:szCs w:val="22"/>
        </w:rPr>
      </w:pPr>
      <w:r w:rsidRPr="007325DA">
        <w:rPr>
          <w:rStyle w:val="FootnoteReference"/>
          <w:szCs w:val="22"/>
        </w:rPr>
        <w:footnoteRef/>
      </w:r>
      <w:r w:rsidR="005A0488" w:rsidRPr="005A0488">
        <w:t>  </w:t>
      </w:r>
      <w:r w:rsidR="008C4BD5">
        <w:rPr>
          <w:i/>
          <w:szCs w:val="22"/>
        </w:rPr>
        <w:t>Id</w:t>
      </w:r>
      <w:r w:rsidR="008C4BD5">
        <w:rPr>
          <w:szCs w:val="22"/>
        </w:rPr>
        <w:t>.</w:t>
      </w:r>
      <w:r>
        <w:rPr>
          <w:i/>
          <w:szCs w:val="22"/>
        </w:rPr>
        <w:t xml:space="preserve"> </w:t>
      </w:r>
      <w:r w:rsidRPr="008C4BD5">
        <w:rPr>
          <w:szCs w:val="22"/>
        </w:rPr>
        <w:t>at 10-21.</w:t>
      </w:r>
    </w:p>
  </w:footnote>
  <w:footnote w:id="36">
    <w:p w14:paraId="0B271ECD" w14:textId="3DFBCF7F" w:rsidR="00657756" w:rsidRPr="007325DA" w:rsidRDefault="00657756" w:rsidP="00D54B54">
      <w:pPr>
        <w:pStyle w:val="FootnoteText"/>
        <w:rPr>
          <w:szCs w:val="22"/>
        </w:rPr>
      </w:pPr>
      <w:r w:rsidRPr="007325DA">
        <w:rPr>
          <w:rStyle w:val="FootnoteReference"/>
          <w:szCs w:val="22"/>
        </w:rPr>
        <w:footnoteRef/>
      </w:r>
      <w:r w:rsidR="005A0488" w:rsidRPr="005A0488">
        <w:t>  </w:t>
      </w:r>
      <w:r w:rsidRPr="007325DA">
        <w:rPr>
          <w:i/>
          <w:szCs w:val="22"/>
        </w:rPr>
        <w:t>Id</w:t>
      </w:r>
      <w:r>
        <w:rPr>
          <w:i/>
          <w:szCs w:val="22"/>
        </w:rPr>
        <w:t xml:space="preserve">. </w:t>
      </w:r>
      <w:r w:rsidRPr="008C4BD5">
        <w:rPr>
          <w:szCs w:val="22"/>
        </w:rPr>
        <w:t xml:space="preserve">at 10-29. </w:t>
      </w:r>
    </w:p>
  </w:footnote>
  <w:footnote w:id="37">
    <w:p w14:paraId="76D55458" w14:textId="6F124F0D" w:rsidR="00657756" w:rsidRPr="00112025" w:rsidRDefault="00657756" w:rsidP="00D54B54">
      <w:pPr>
        <w:pStyle w:val="FootnoteText"/>
        <w:rPr>
          <w:rFonts w:ascii="Century Schoolbook" w:hAnsi="Century Schoolbook"/>
        </w:rPr>
      </w:pPr>
      <w:r w:rsidRPr="00AC63DA">
        <w:rPr>
          <w:rStyle w:val="FootnoteReference"/>
          <w:szCs w:val="22"/>
        </w:rPr>
        <w:footnoteRef/>
      </w:r>
      <w:r w:rsidR="005A0488" w:rsidRPr="005A0488">
        <w:t>  </w:t>
      </w:r>
      <w:r>
        <w:rPr>
          <w:i/>
          <w:szCs w:val="22"/>
        </w:rPr>
        <w:t>Id</w:t>
      </w:r>
      <w:r w:rsidRPr="00AC63DA">
        <w:rPr>
          <w:i/>
          <w:szCs w:val="22"/>
        </w:rPr>
        <w:t>.</w:t>
      </w:r>
    </w:p>
  </w:footnote>
  <w:footnote w:id="38">
    <w:p w14:paraId="7111A4CF" w14:textId="0B77BA35" w:rsidR="00657756" w:rsidRPr="00336581" w:rsidRDefault="00657756" w:rsidP="00D54B54">
      <w:pPr>
        <w:ind w:firstLine="720"/>
        <w:jc w:val="both"/>
        <w:rPr>
          <w:i/>
          <w:sz w:val="20"/>
        </w:rPr>
      </w:pPr>
      <w:r w:rsidRPr="00336581">
        <w:rPr>
          <w:rStyle w:val="FootnoteReference"/>
          <w:sz w:val="20"/>
        </w:rPr>
        <w:footnoteRef/>
      </w:r>
      <w:r w:rsidR="005A0488" w:rsidRPr="005A0488">
        <w:t>  </w:t>
      </w:r>
      <w:r w:rsidRPr="00336581">
        <w:rPr>
          <w:i/>
          <w:sz w:val="20"/>
        </w:rPr>
        <w:t>Duff &amp; Phelps</w:t>
      </w:r>
      <w:r w:rsidRPr="00336581">
        <w:rPr>
          <w:sz w:val="20"/>
        </w:rPr>
        <w:t xml:space="preserve">:  </w:t>
      </w:r>
      <w:r>
        <w:rPr>
          <w:sz w:val="20"/>
        </w:rPr>
        <w:t>“</w:t>
      </w:r>
      <w:r w:rsidRPr="00336581">
        <w:rPr>
          <w:sz w:val="20"/>
        </w:rPr>
        <w:t>Technical Update:  Duff &amp; Phelps Recommended U.S. Equity Risk Premium Decreased from 6.0% to 5.5%,</w:t>
      </w:r>
      <w:r>
        <w:rPr>
          <w:sz w:val="20"/>
        </w:rPr>
        <w:t>”</w:t>
      </w:r>
      <w:r w:rsidRPr="00336581">
        <w:rPr>
          <w:sz w:val="20"/>
        </w:rPr>
        <w:t xml:space="preserve"> December 10, 2020.</w:t>
      </w:r>
    </w:p>
  </w:footnote>
  <w:footnote w:id="39">
    <w:p w14:paraId="0A34A633" w14:textId="0A4AC23E" w:rsidR="00657756" w:rsidRDefault="00657756" w:rsidP="00685365">
      <w:pPr>
        <w:pStyle w:val="FootnoteText"/>
        <w:rPr>
          <w:szCs w:val="22"/>
        </w:rPr>
      </w:pPr>
      <w:r>
        <w:rPr>
          <w:rStyle w:val="FootnoteReference"/>
          <w:szCs w:val="22"/>
        </w:rPr>
        <w:footnoteRef/>
      </w:r>
      <w:r w:rsidR="005A0488" w:rsidRPr="005A0488">
        <w:t>  </w:t>
      </w:r>
      <w:r>
        <w:rPr>
          <w:szCs w:val="22"/>
        </w:rPr>
        <w:t xml:space="preserve">S&amp;P updated its 2008 credit metric guidelines in 2009, and incorporated utility metric benchmarks with the general corporate rating metrics.  </w:t>
      </w:r>
      <w:r>
        <w:rPr>
          <w:i/>
          <w:szCs w:val="22"/>
        </w:rPr>
        <w:t xml:space="preserve">Standard &amp; Poor’s </w:t>
      </w:r>
      <w:proofErr w:type="spellStart"/>
      <w:r>
        <w:rPr>
          <w:i/>
          <w:szCs w:val="22"/>
        </w:rPr>
        <w:t>RatingsDirect</w:t>
      </w:r>
      <w:proofErr w:type="spellEnd"/>
      <w:r>
        <w:rPr>
          <w:szCs w:val="22"/>
        </w:rPr>
        <w:t>: “Criteria Methodology:  Business Risk/Financial Risk Matrix Expanded,” May 27, 2009.</w:t>
      </w:r>
    </w:p>
  </w:footnote>
  <w:footnote w:id="40">
    <w:p w14:paraId="20D8B7B0" w14:textId="7C2BA30F" w:rsidR="00657756" w:rsidRPr="00B57E9D" w:rsidRDefault="00657756" w:rsidP="00685365">
      <w:pPr>
        <w:pStyle w:val="FootnoteText"/>
      </w:pPr>
      <w:r>
        <w:rPr>
          <w:rStyle w:val="FootnoteReference"/>
        </w:rPr>
        <w:footnoteRef/>
      </w:r>
      <w:r w:rsidR="005A0488" w:rsidRPr="005A0488">
        <w:t>  </w:t>
      </w:r>
      <w:r>
        <w:rPr>
          <w:i/>
        </w:rPr>
        <w:t xml:space="preserve">S&amp;P </w:t>
      </w:r>
      <w:proofErr w:type="spellStart"/>
      <w:r>
        <w:rPr>
          <w:i/>
        </w:rPr>
        <w:t>RatingsDirect</w:t>
      </w:r>
      <w:proofErr w:type="spellEnd"/>
      <w:r>
        <w:t>:  “El Paso Electric Co.,” May 21, 2018.</w:t>
      </w:r>
    </w:p>
  </w:footnote>
  <w:footnote w:id="41">
    <w:p w14:paraId="350BA784" w14:textId="06FB6095" w:rsidR="00657756" w:rsidRDefault="00657756" w:rsidP="00685365">
      <w:pPr>
        <w:pStyle w:val="FootnoteText"/>
        <w:rPr>
          <w:szCs w:val="22"/>
        </w:rPr>
      </w:pPr>
      <w:r>
        <w:rPr>
          <w:rStyle w:val="FootnoteReference"/>
          <w:szCs w:val="22"/>
        </w:rPr>
        <w:footnoteRef/>
      </w:r>
      <w:r w:rsidR="005A0488" w:rsidRPr="005A0488">
        <w:t>  </w:t>
      </w:r>
      <w:r>
        <w:rPr>
          <w:i/>
          <w:szCs w:val="22"/>
        </w:rPr>
        <w:t xml:space="preserve">Standard &amp; Poor’s </w:t>
      </w:r>
      <w:proofErr w:type="spellStart"/>
      <w:r>
        <w:rPr>
          <w:i/>
          <w:szCs w:val="22"/>
        </w:rPr>
        <w:t>RatingsDirect</w:t>
      </w:r>
      <w:proofErr w:type="spellEnd"/>
      <w:r>
        <w:rPr>
          <w:szCs w:val="22"/>
        </w:rPr>
        <w:t>: “Criteria: Corporate Methodology,” November 19, 2013.</w:t>
      </w:r>
    </w:p>
  </w:footnote>
  <w:footnote w:id="42">
    <w:p w14:paraId="1B263EDC" w14:textId="4E29E2D2" w:rsidR="00657756" w:rsidRDefault="00657756" w:rsidP="00685365">
      <w:pPr>
        <w:pStyle w:val="FootnoteText"/>
      </w:pPr>
      <w:r>
        <w:rPr>
          <w:rStyle w:val="FootnoteReference"/>
        </w:rPr>
        <w:footnoteRef/>
      </w:r>
      <w:r w:rsidR="005A0488" w:rsidRPr="005A0488">
        <w:t>  </w:t>
      </w:r>
      <w:proofErr w:type="spellStart"/>
      <w:r>
        <w:t>EPE’s</w:t>
      </w:r>
      <w:proofErr w:type="spellEnd"/>
      <w:r>
        <w:t xml:space="preserve"> response to </w:t>
      </w:r>
      <w:proofErr w:type="spellStart"/>
      <w:r>
        <w:t>TIEC</w:t>
      </w:r>
      <w:proofErr w:type="spellEnd"/>
      <w:r>
        <w:t xml:space="preserve"> 1-14.</w:t>
      </w:r>
    </w:p>
  </w:footnote>
  <w:footnote w:id="43">
    <w:p w14:paraId="25463179" w14:textId="678211DF" w:rsidR="00657756" w:rsidRDefault="00657756" w:rsidP="00685365">
      <w:pPr>
        <w:pStyle w:val="FootnoteText"/>
        <w:rPr>
          <w:szCs w:val="22"/>
        </w:rPr>
      </w:pPr>
      <w:r>
        <w:rPr>
          <w:rStyle w:val="FootnoteReference"/>
          <w:szCs w:val="22"/>
        </w:rPr>
        <w:footnoteRef/>
      </w:r>
      <w:r w:rsidR="005A0488" w:rsidRPr="005A0488">
        <w:t>  </w:t>
      </w:r>
      <w:r>
        <w:rPr>
          <w:i/>
          <w:szCs w:val="22"/>
        </w:rPr>
        <w:t xml:space="preserve">Standard &amp; Poor’s </w:t>
      </w:r>
      <w:proofErr w:type="spellStart"/>
      <w:r>
        <w:rPr>
          <w:i/>
          <w:szCs w:val="22"/>
        </w:rPr>
        <w:t>RatingsDirect</w:t>
      </w:r>
      <w:proofErr w:type="spellEnd"/>
      <w:r w:rsidRPr="00B40203">
        <w:rPr>
          <w:rFonts w:cs="Arial"/>
          <w:i/>
          <w:szCs w:val="22"/>
          <w:vertAlign w:val="superscript"/>
        </w:rPr>
        <w:t>®</w:t>
      </w:r>
      <w:r>
        <w:rPr>
          <w:szCs w:val="22"/>
        </w:rPr>
        <w:t>: “Criteria: Corporate Methodology,” November 19, 2013.</w:t>
      </w:r>
    </w:p>
  </w:footnote>
  <w:footnote w:id="44">
    <w:p w14:paraId="10E4C79A" w14:textId="7EF8FEBF" w:rsidR="00657756" w:rsidRDefault="00657756" w:rsidP="00685365">
      <w:pPr>
        <w:pStyle w:val="FootnoteText"/>
      </w:pPr>
      <w:r>
        <w:rPr>
          <w:rStyle w:val="FootnoteReference"/>
        </w:rPr>
        <w:footnoteRef/>
      </w:r>
      <w:r w:rsidR="005A0488" w:rsidRPr="005A0488">
        <w:t>  </w:t>
      </w:r>
      <w:r>
        <w:t>Nelson Direct Testimony at 2.</w:t>
      </w:r>
    </w:p>
  </w:footnote>
  <w:footnote w:id="45">
    <w:p w14:paraId="33CA0DDA" w14:textId="200CDC9D" w:rsidR="00657756" w:rsidRPr="00EE7377" w:rsidRDefault="00657756" w:rsidP="00685365">
      <w:pPr>
        <w:pStyle w:val="FootnoteText"/>
      </w:pPr>
      <w:r w:rsidRPr="00EE7377">
        <w:rPr>
          <w:rStyle w:val="FootnoteReference"/>
        </w:rPr>
        <w:footnoteRef/>
      </w:r>
      <w:r w:rsidR="005A0488" w:rsidRPr="005A0488">
        <w:t>  </w:t>
      </w:r>
      <w:r w:rsidR="008C4BD5">
        <w:rPr>
          <w:i/>
        </w:rPr>
        <w:t>Id</w:t>
      </w:r>
      <w:r w:rsidR="008C4BD5">
        <w:t>.</w:t>
      </w:r>
      <w:r>
        <w:t xml:space="preserve"> at 6-10.</w:t>
      </w:r>
    </w:p>
  </w:footnote>
  <w:footnote w:id="46">
    <w:p w14:paraId="698232CB" w14:textId="45F930B3" w:rsidR="00657756" w:rsidRDefault="00657756" w:rsidP="00685365">
      <w:pPr>
        <w:pStyle w:val="FootnoteText"/>
      </w:pPr>
      <w:r>
        <w:rPr>
          <w:rStyle w:val="FootnoteReference"/>
        </w:rPr>
        <w:footnoteRef/>
      </w:r>
      <w:r w:rsidR="005A0488" w:rsidRPr="005A0488">
        <w:t>  </w:t>
      </w:r>
      <w:r w:rsidRPr="00F4184D">
        <w:rPr>
          <w:i/>
        </w:rPr>
        <w:t>Id.</w:t>
      </w:r>
      <w:r>
        <w:t xml:space="preserve"> at 25-26.</w:t>
      </w:r>
    </w:p>
  </w:footnote>
  <w:footnote w:id="47">
    <w:p w14:paraId="42E38457" w14:textId="73407CC5" w:rsidR="00657756" w:rsidRPr="00EE7377" w:rsidRDefault="00657756" w:rsidP="00685365">
      <w:pPr>
        <w:pStyle w:val="FootnoteText"/>
      </w:pPr>
      <w:r w:rsidRPr="00EE7377">
        <w:rPr>
          <w:rStyle w:val="FootnoteReference"/>
        </w:rPr>
        <w:footnoteRef/>
      </w:r>
      <w:r w:rsidR="005A0488" w:rsidRPr="005A0488">
        <w:t>  </w:t>
      </w:r>
      <w:r w:rsidR="008C4BD5">
        <w:rPr>
          <w:i/>
        </w:rPr>
        <w:t>Id</w:t>
      </w:r>
      <w:r w:rsidR="008C4BD5">
        <w:t>.</w:t>
      </w:r>
      <w:r>
        <w:t xml:space="preserve"> at 43-44 and Exhibit JEN-5</w:t>
      </w:r>
      <w:r w:rsidRPr="00EE7377">
        <w:t>.</w:t>
      </w:r>
    </w:p>
  </w:footnote>
  <w:footnote w:id="48">
    <w:p w14:paraId="2D58DB58" w14:textId="27A95B69" w:rsidR="00657756" w:rsidRPr="00EE7377" w:rsidRDefault="00657756" w:rsidP="00685365">
      <w:pPr>
        <w:pStyle w:val="FootnoteText"/>
      </w:pPr>
      <w:r w:rsidRPr="00EE7377">
        <w:rPr>
          <w:rStyle w:val="FootnoteReference"/>
        </w:rPr>
        <w:footnoteRef/>
      </w:r>
      <w:r w:rsidR="005A0488" w:rsidRPr="005A0488">
        <w:t>  </w:t>
      </w:r>
      <w:r>
        <w:t>Exhibit JEN-4</w:t>
      </w:r>
      <w:r w:rsidRPr="00EE7377">
        <w:t>.</w:t>
      </w:r>
    </w:p>
  </w:footnote>
  <w:footnote w:id="49">
    <w:p w14:paraId="44E37B5C" w14:textId="591F27CA" w:rsidR="00657756" w:rsidRPr="00EE7377" w:rsidRDefault="00657756" w:rsidP="00685365">
      <w:pPr>
        <w:pStyle w:val="FootnoteText"/>
      </w:pPr>
      <w:r w:rsidRPr="00EE7377">
        <w:rPr>
          <w:rStyle w:val="FootnoteReference"/>
        </w:rPr>
        <w:footnoteRef/>
      </w:r>
      <w:r w:rsidR="005A0488" w:rsidRPr="005A0488">
        <w:t>  </w:t>
      </w:r>
      <w:r>
        <w:rPr>
          <w:i/>
        </w:rPr>
        <w:t>Duff &amp; Phelps</w:t>
      </w:r>
      <w:r w:rsidRPr="00EE7377">
        <w:t xml:space="preserve"> </w:t>
      </w:r>
      <w:r w:rsidRPr="00EE7377">
        <w:rPr>
          <w:i/>
        </w:rPr>
        <w:t>20</w:t>
      </w:r>
      <w:r>
        <w:rPr>
          <w:i/>
        </w:rPr>
        <w:t>21</w:t>
      </w:r>
      <w:r w:rsidRPr="00EE7377">
        <w:rPr>
          <w:i/>
        </w:rPr>
        <w:t xml:space="preserve"> </w:t>
      </w:r>
      <w:proofErr w:type="spellStart"/>
      <w:r w:rsidRPr="00EE7377">
        <w:rPr>
          <w:i/>
        </w:rPr>
        <w:t>SBBI</w:t>
      </w:r>
      <w:proofErr w:type="spellEnd"/>
      <w:r w:rsidRPr="00EE7377">
        <w:rPr>
          <w:i/>
        </w:rPr>
        <w:t xml:space="preserve"> Yearbook</w:t>
      </w:r>
      <w:r w:rsidRPr="00EE7377">
        <w:t xml:space="preserve"> at 6-17.</w:t>
      </w:r>
    </w:p>
  </w:footnote>
  <w:footnote w:id="50">
    <w:p w14:paraId="660061B2" w14:textId="10F74CE6" w:rsidR="00657756" w:rsidRPr="00EE7377" w:rsidRDefault="00657756" w:rsidP="00685365">
      <w:pPr>
        <w:pStyle w:val="FootnoteText"/>
      </w:pPr>
      <w:r w:rsidRPr="00EE7377">
        <w:rPr>
          <w:rStyle w:val="FootnoteReference"/>
        </w:rPr>
        <w:footnoteRef/>
      </w:r>
      <w:r w:rsidR="005A0488" w:rsidRPr="005A0488">
        <w:t>  </w:t>
      </w:r>
      <w:r w:rsidRPr="00EE7377">
        <w:rPr>
          <w:i/>
        </w:rPr>
        <w:t>Id</w:t>
      </w:r>
      <w:r w:rsidRPr="00EE7377">
        <w:t>.</w:t>
      </w:r>
    </w:p>
  </w:footnote>
  <w:footnote w:id="51">
    <w:p w14:paraId="37B0CB5F" w14:textId="32448B0F" w:rsidR="00657756" w:rsidRDefault="00657756" w:rsidP="00685365">
      <w:pPr>
        <w:pStyle w:val="FootnoteText"/>
      </w:pPr>
      <w:r>
        <w:rPr>
          <w:rStyle w:val="FootnoteReference"/>
        </w:rPr>
        <w:footnoteRef/>
      </w:r>
      <w:r w:rsidR="005A0488" w:rsidRPr="005A0488">
        <w:t>  </w:t>
      </w:r>
      <w:r w:rsidRPr="00121125">
        <w:rPr>
          <w:szCs w:val="22"/>
        </w:rPr>
        <w:t>U.S. Bureau of Economic Analysis, January 28, 2021.</w:t>
      </w:r>
    </w:p>
  </w:footnote>
  <w:footnote w:id="52">
    <w:p w14:paraId="1476CFF5" w14:textId="1524AECB" w:rsidR="00657756" w:rsidRDefault="00657756" w:rsidP="00685365">
      <w:pPr>
        <w:pStyle w:val="FootnoteText"/>
      </w:pPr>
      <w:r w:rsidRPr="00D942FB">
        <w:rPr>
          <w:rStyle w:val="FootnoteReference"/>
        </w:rPr>
        <w:footnoteRef/>
      </w:r>
      <w:r w:rsidR="005A0488" w:rsidRPr="005A0488">
        <w:t>  </w:t>
      </w:r>
      <w:r w:rsidRPr="009B152F">
        <w:rPr>
          <w:i/>
        </w:rPr>
        <w:t>Blue Chip Financial Forecast</w:t>
      </w:r>
      <w:r w:rsidR="008C4BD5">
        <w:rPr>
          <w:i/>
        </w:rPr>
        <w:t>s</w:t>
      </w:r>
      <w:r>
        <w:t>, April 1, 2021 at 2; Nelson Direct Testimony at 42.</w:t>
      </w:r>
    </w:p>
  </w:footnote>
  <w:footnote w:id="53">
    <w:p w14:paraId="2D14B8AE" w14:textId="77B229E2" w:rsidR="00657756" w:rsidRDefault="00657756" w:rsidP="00685365">
      <w:pPr>
        <w:pStyle w:val="FootnoteText"/>
      </w:pPr>
      <w:r>
        <w:rPr>
          <w:rStyle w:val="FootnoteReference"/>
        </w:rPr>
        <w:footnoteRef/>
      </w:r>
      <w:r w:rsidR="005A0488" w:rsidRPr="005A0488">
        <w:t>  </w:t>
      </w:r>
      <w:r w:rsidRPr="009B152F">
        <w:rPr>
          <w:i/>
        </w:rPr>
        <w:t>Blue Chip Financial Forecast</w:t>
      </w:r>
      <w:r w:rsidR="008C4BD5">
        <w:rPr>
          <w:i/>
        </w:rPr>
        <w:t>s</w:t>
      </w:r>
      <w:r>
        <w:t>, December 1, 2020 at 14; Nelson Direct Testimony at 42.</w:t>
      </w:r>
    </w:p>
  </w:footnote>
  <w:footnote w:id="54">
    <w:p w14:paraId="0EFDBA6A" w14:textId="613682B5" w:rsidR="00657756" w:rsidRDefault="00657756" w:rsidP="00685365">
      <w:pPr>
        <w:pStyle w:val="FootnoteText"/>
      </w:pPr>
      <w:r>
        <w:rPr>
          <w:rStyle w:val="FootnoteReference"/>
        </w:rPr>
        <w:footnoteRef/>
      </w:r>
      <w:r w:rsidR="005A0488" w:rsidRPr="005A0488">
        <w:t>  </w:t>
      </w:r>
      <w:r>
        <w:t>Nelson Direct Testimony at 43.</w:t>
      </w:r>
    </w:p>
  </w:footnote>
  <w:footnote w:id="55">
    <w:p w14:paraId="36E527C2" w14:textId="6781EF6C" w:rsidR="00657756" w:rsidRDefault="00657756" w:rsidP="00685365">
      <w:pPr>
        <w:pStyle w:val="FootnoteText"/>
      </w:pPr>
      <w:r>
        <w:rPr>
          <w:rStyle w:val="FootnoteReference"/>
        </w:rPr>
        <w:footnoteRef/>
      </w:r>
      <w:r w:rsidR="005A0488" w:rsidRPr="005A0488">
        <w:t>  </w:t>
      </w:r>
      <w:r w:rsidR="008C4BD5">
        <w:rPr>
          <w:i/>
        </w:rPr>
        <w:t>Id</w:t>
      </w:r>
      <w:r w:rsidR="008C4BD5">
        <w:t>.</w:t>
      </w:r>
      <w:r>
        <w:t xml:space="preserve"> at 23-25.</w:t>
      </w:r>
    </w:p>
  </w:footnote>
  <w:footnote w:id="56">
    <w:p w14:paraId="1033209C" w14:textId="5C916C48" w:rsidR="00657756" w:rsidRDefault="00657756" w:rsidP="00685365">
      <w:pPr>
        <w:pStyle w:val="FootnoteText"/>
      </w:pPr>
      <w:r>
        <w:rPr>
          <w:rStyle w:val="FootnoteReference"/>
        </w:rPr>
        <w:footnoteRef/>
      </w:r>
      <w:r w:rsidR="005A0488" w:rsidRPr="005A0488">
        <w:t>  </w:t>
      </w:r>
      <w:r>
        <w:t>2.68% + 0.87 x (11.50% - 2.68%) = 10.4%</w:t>
      </w:r>
      <w:r w:rsidR="008C4BD5">
        <w:t>.</w:t>
      </w:r>
    </w:p>
  </w:footnote>
  <w:footnote w:id="57">
    <w:p w14:paraId="1476C010" w14:textId="601717E5" w:rsidR="00657756" w:rsidRDefault="00657756" w:rsidP="00685365">
      <w:pPr>
        <w:pStyle w:val="FootnoteText"/>
      </w:pPr>
      <w:r>
        <w:rPr>
          <w:rStyle w:val="FootnoteReference"/>
        </w:rPr>
        <w:footnoteRef/>
      </w:r>
      <w:r w:rsidR="005A0488" w:rsidRPr="005A0488">
        <w:t>  </w:t>
      </w:r>
      <w:r>
        <w:t>2.68% + 0.71 x (11.50% - 2.68%) = 8.9%</w:t>
      </w:r>
      <w:r w:rsidR="008C4BD5">
        <w:t>.</w:t>
      </w:r>
    </w:p>
  </w:footnote>
  <w:footnote w:id="58">
    <w:p w14:paraId="2AB2F2EA" w14:textId="2DD544EC" w:rsidR="00657756" w:rsidRDefault="00657756" w:rsidP="00685365">
      <w:pPr>
        <w:pStyle w:val="FootnoteText"/>
      </w:pPr>
      <w:r w:rsidRPr="00E62445">
        <w:rPr>
          <w:rStyle w:val="FootnoteReference"/>
        </w:rPr>
        <w:footnoteRef/>
      </w:r>
      <w:r w:rsidR="005A0488" w:rsidRPr="005A0488">
        <w:t>  </w:t>
      </w:r>
      <w:r w:rsidRPr="00BD10AC">
        <w:t>75% x 0.</w:t>
      </w:r>
      <w:r>
        <w:t>87</w:t>
      </w:r>
      <w:r w:rsidRPr="00BD10AC">
        <w:t xml:space="preserve"> + 25% x 1 = </w:t>
      </w:r>
      <w:r>
        <w:t>0.90</w:t>
      </w:r>
      <w:r w:rsidRPr="00E62445">
        <w:t>.</w:t>
      </w:r>
    </w:p>
  </w:footnote>
  <w:footnote w:id="59">
    <w:p w14:paraId="2E1DD154" w14:textId="2B25864C" w:rsidR="00657756" w:rsidRPr="00746105" w:rsidRDefault="00657756" w:rsidP="00685365">
      <w:pPr>
        <w:ind w:firstLine="720"/>
        <w:jc w:val="both"/>
        <w:rPr>
          <w:szCs w:val="22"/>
        </w:rPr>
      </w:pPr>
      <w:r w:rsidRPr="0090476A">
        <w:rPr>
          <w:rStyle w:val="FootnoteReference"/>
        </w:rPr>
        <w:footnoteRef/>
      </w:r>
      <w:r w:rsidR="005A0488" w:rsidRPr="005A0488">
        <w:t>  </w:t>
      </w:r>
      <w:r w:rsidRPr="00780D26">
        <w:rPr>
          <w:i/>
          <w:szCs w:val="22"/>
        </w:rPr>
        <w:t>See</w:t>
      </w:r>
      <w:r w:rsidRPr="00746105">
        <w:rPr>
          <w:szCs w:val="22"/>
        </w:rPr>
        <w:t xml:space="preserve"> Black, Fischer, </w:t>
      </w:r>
      <w:r>
        <w:rPr>
          <w:szCs w:val="22"/>
        </w:rPr>
        <w:t>“</w:t>
      </w:r>
      <w:r w:rsidRPr="00746105">
        <w:rPr>
          <w:szCs w:val="22"/>
        </w:rPr>
        <w:t>Beta and Return,</w:t>
      </w:r>
      <w:r>
        <w:rPr>
          <w:szCs w:val="22"/>
        </w:rPr>
        <w:t>”</w:t>
      </w:r>
      <w:r w:rsidRPr="00746105">
        <w:rPr>
          <w:szCs w:val="22"/>
        </w:rPr>
        <w:t xml:space="preserve"> </w:t>
      </w:r>
      <w:r w:rsidRPr="00746105">
        <w:rPr>
          <w:i/>
          <w:iCs/>
          <w:szCs w:val="22"/>
        </w:rPr>
        <w:t>The Journal of Portfolio Management,</w:t>
      </w:r>
      <w:r w:rsidRPr="00746105">
        <w:rPr>
          <w:szCs w:val="22"/>
        </w:rPr>
        <w:t xml:space="preserve"> Fall 1993, 8-18; and Black, Fischer, Michael C. Jensen and Myron Scholes, </w:t>
      </w:r>
      <w:r>
        <w:rPr>
          <w:szCs w:val="22"/>
        </w:rPr>
        <w:t>“</w:t>
      </w:r>
      <w:r w:rsidRPr="00746105">
        <w:rPr>
          <w:szCs w:val="22"/>
        </w:rPr>
        <w:t>The Capital Asset Pricing Model:  Some Empirical Tests,</w:t>
      </w:r>
      <w:r>
        <w:rPr>
          <w:szCs w:val="22"/>
        </w:rPr>
        <w:t>”</w:t>
      </w:r>
      <w:r w:rsidRPr="00746105">
        <w:rPr>
          <w:szCs w:val="22"/>
        </w:rPr>
        <w:t xml:space="preserve"> 1972.</w:t>
      </w:r>
    </w:p>
  </w:footnote>
  <w:footnote w:id="60">
    <w:p w14:paraId="48F44095" w14:textId="26EDB4B5" w:rsidR="00657756" w:rsidRDefault="00657756" w:rsidP="00685365">
      <w:pPr>
        <w:pStyle w:val="FootnoteText"/>
      </w:pPr>
      <w:r>
        <w:rPr>
          <w:rStyle w:val="FootnoteReference"/>
        </w:rPr>
        <w:footnoteRef/>
      </w:r>
      <w:r w:rsidR="005A0488" w:rsidRPr="005A0488">
        <w:t>  </w:t>
      </w:r>
      <w:r w:rsidRPr="0086346B">
        <w:t>Raw Beta = (</w:t>
      </w:r>
      <w:proofErr w:type="spellStart"/>
      <w:r w:rsidRPr="0086346B">
        <w:t>VL</w:t>
      </w:r>
      <w:proofErr w:type="spellEnd"/>
      <w:r w:rsidRPr="0086346B">
        <w:t xml:space="preserve"> Beta - 0.35) / 0.67</w:t>
      </w:r>
      <w:r>
        <w:t>, Raw Beta = (0.87-0.35)/0.67 = 0.78.</w:t>
      </w:r>
    </w:p>
  </w:footnote>
  <w:footnote w:id="61">
    <w:p w14:paraId="5D5E6F64" w14:textId="2BF4968A" w:rsidR="00657756" w:rsidRPr="00035E3B" w:rsidRDefault="00657756" w:rsidP="00685365">
      <w:pPr>
        <w:pStyle w:val="FootnoteText"/>
      </w:pPr>
      <w:r w:rsidRPr="00BD10AC">
        <w:rPr>
          <w:rStyle w:val="FootnoteReference"/>
        </w:rPr>
        <w:footnoteRef/>
      </w:r>
      <w:r w:rsidR="005A0488" w:rsidRPr="005A0488">
        <w:t>  </w:t>
      </w:r>
      <w:proofErr w:type="spellStart"/>
      <w:r w:rsidRPr="00BD10AC">
        <w:t>ECAPM</w:t>
      </w:r>
      <w:proofErr w:type="spellEnd"/>
      <w:r w:rsidRPr="00BD10AC">
        <w:t xml:space="preserve"> </w:t>
      </w:r>
      <w:r w:rsidRPr="00A7041F">
        <w:t xml:space="preserve">= </w:t>
      </w:r>
      <w:proofErr w:type="spellStart"/>
      <w:r w:rsidRPr="00A7041F">
        <w:t>RF</w:t>
      </w:r>
      <w:proofErr w:type="spellEnd"/>
      <w:r w:rsidRPr="00A7041F">
        <w:t xml:space="preserve"> + 0.25 x </w:t>
      </w:r>
      <w:proofErr w:type="spellStart"/>
      <w:r w:rsidRPr="00A7041F">
        <w:t>MRP</w:t>
      </w:r>
      <w:proofErr w:type="spellEnd"/>
      <w:r w:rsidRPr="00A7041F">
        <w:t xml:space="preserve"> + 0.75 x </w:t>
      </w:r>
      <w:proofErr w:type="spellStart"/>
      <w:r w:rsidRPr="00A7041F">
        <w:t>MRP</w:t>
      </w:r>
      <w:proofErr w:type="spellEnd"/>
      <w:r w:rsidRPr="00A7041F">
        <w:t xml:space="preserve"> x Unadjusted Beta.</w:t>
      </w:r>
      <w:r>
        <w:t xml:space="preserve">  </w:t>
      </w:r>
      <w:proofErr w:type="spellStart"/>
      <w:r w:rsidRPr="00A7041F">
        <w:t>ECAPM</w:t>
      </w:r>
      <w:proofErr w:type="spellEnd"/>
      <w:r w:rsidRPr="00A7041F">
        <w:t xml:space="preserve"> = </w:t>
      </w:r>
      <w:r>
        <w:t>2.68</w:t>
      </w:r>
      <w:r w:rsidRPr="00A7041F">
        <w:t xml:space="preserve">% + 0.25 x </w:t>
      </w:r>
      <w:r>
        <w:t>(11.5</w:t>
      </w:r>
      <w:r w:rsidRPr="00A7041F">
        <w:t>%</w:t>
      </w:r>
      <w:r>
        <w:t xml:space="preserve"> - 2.68%)</w:t>
      </w:r>
      <w:r w:rsidRPr="00A7041F">
        <w:t xml:space="preserve"> + 0.75 x </w:t>
      </w:r>
      <w:r>
        <w:t>(11.50% - 2.68</w:t>
      </w:r>
      <w:r w:rsidRPr="00A7041F">
        <w:t>%</w:t>
      </w:r>
      <w:r>
        <w:t>)</w:t>
      </w:r>
      <w:r w:rsidRPr="00A7041F">
        <w:t xml:space="preserve"> x 0.</w:t>
      </w:r>
      <w:r>
        <w:t>78</w:t>
      </w:r>
      <w:r w:rsidRPr="00A7041F">
        <w:t xml:space="preserve"> = </w:t>
      </w:r>
      <w:r>
        <w:t>10.0</w:t>
      </w:r>
      <w:r w:rsidRPr="00A7041F">
        <w:t>%.</w:t>
      </w:r>
    </w:p>
  </w:footnote>
  <w:footnote w:id="62">
    <w:p w14:paraId="0AE43250" w14:textId="43675095" w:rsidR="00657756" w:rsidRDefault="00657756" w:rsidP="00685365">
      <w:pPr>
        <w:pStyle w:val="FootnoteText"/>
      </w:pPr>
      <w:r>
        <w:rPr>
          <w:rStyle w:val="FootnoteReference"/>
        </w:rPr>
        <w:footnoteRef/>
      </w:r>
      <w:r w:rsidR="005A0488" w:rsidRPr="005A0488">
        <w:t>  </w:t>
      </w:r>
      <w:r>
        <w:t>Exhibit JEN-6.</w:t>
      </w:r>
    </w:p>
  </w:footnote>
  <w:footnote w:id="63">
    <w:p w14:paraId="6F6AD883" w14:textId="7FD650A4" w:rsidR="00657756" w:rsidRPr="00EE7377" w:rsidRDefault="00657756" w:rsidP="00685365">
      <w:pPr>
        <w:pStyle w:val="FootnoteText"/>
      </w:pPr>
      <w:r w:rsidRPr="00EE7377">
        <w:rPr>
          <w:rStyle w:val="FootnoteReference"/>
        </w:rPr>
        <w:footnoteRef/>
      </w:r>
      <w:r w:rsidR="005A0488" w:rsidRPr="005A0488">
        <w:t>  </w:t>
      </w:r>
      <w:r w:rsidRPr="00EE7377">
        <w:t xml:space="preserve">Robert S. Harris </w:t>
      </w:r>
      <w:r>
        <w:t>&amp;</w:t>
      </w:r>
      <w:r w:rsidRPr="00EE7377">
        <w:t xml:space="preserve"> Felicia C. Marston, </w:t>
      </w:r>
      <w:r>
        <w:t>“</w:t>
      </w:r>
      <w:r w:rsidRPr="00EE7377">
        <w:t xml:space="preserve">The Market Risk Premium: </w:t>
      </w:r>
      <w:r>
        <w:t>“</w:t>
      </w:r>
      <w:proofErr w:type="spellStart"/>
      <w:r w:rsidRPr="00EE7377">
        <w:t>Expectational</w:t>
      </w:r>
      <w:proofErr w:type="spellEnd"/>
      <w:r w:rsidRPr="00EE7377">
        <w:t xml:space="preserve"> Estimates Using Analysts</w:t>
      </w:r>
      <w:r>
        <w:t>’</w:t>
      </w:r>
      <w:r w:rsidRPr="00EE7377">
        <w:t xml:space="preserve"> Forecasts,</w:t>
      </w:r>
      <w:r>
        <w:t>”</w:t>
      </w:r>
      <w:r w:rsidRPr="00EE7377">
        <w:t xml:space="preserve"> </w:t>
      </w:r>
      <w:r w:rsidRPr="00EE7377">
        <w:rPr>
          <w:i/>
        </w:rPr>
        <w:t>Journal of Applied Finance</w:t>
      </w:r>
      <w:r w:rsidRPr="00EE7377">
        <w:t xml:space="preserve">, Volume 11, No. 1, 2001 at 10-13; Eugene F. Brigham, </w:t>
      </w:r>
      <w:proofErr w:type="spellStart"/>
      <w:r w:rsidRPr="00EE7377">
        <w:t>Dilip</w:t>
      </w:r>
      <w:proofErr w:type="spellEnd"/>
      <w:r w:rsidRPr="00EE7377">
        <w:t xml:space="preserve"> K. </w:t>
      </w:r>
      <w:proofErr w:type="spellStart"/>
      <w:r w:rsidRPr="00EE7377">
        <w:t>Shome</w:t>
      </w:r>
      <w:proofErr w:type="spellEnd"/>
      <w:r w:rsidRPr="00EE7377">
        <w:t xml:space="preserve">, </w:t>
      </w:r>
      <w:r>
        <w:t>&amp;</w:t>
      </w:r>
      <w:r w:rsidRPr="00EE7377">
        <w:t xml:space="preserve"> Steve R. Vinson, </w:t>
      </w:r>
      <w:r>
        <w:t>“</w:t>
      </w:r>
      <w:r w:rsidRPr="00EE7377">
        <w:t>The Risk Premium Approach to Measuring a Utility</w:t>
      </w:r>
      <w:r>
        <w:t>’</w:t>
      </w:r>
      <w:r w:rsidRPr="00EE7377">
        <w:t>s Cost of Equity,</w:t>
      </w:r>
      <w:r>
        <w:t>”</w:t>
      </w:r>
      <w:r w:rsidRPr="00EE7377">
        <w:t xml:space="preserve"> </w:t>
      </w:r>
      <w:r w:rsidRPr="00EE7377">
        <w:rPr>
          <w:i/>
        </w:rPr>
        <w:t>Financial Management</w:t>
      </w:r>
      <w:r w:rsidRPr="00EE7377">
        <w:t xml:space="preserve">, </w:t>
      </w:r>
      <w:r>
        <w:t xml:space="preserve">Spring 1985, </w:t>
      </w:r>
      <w:r w:rsidRPr="00EE7377">
        <w:t>at 42-43.</w:t>
      </w:r>
    </w:p>
  </w:footnote>
  <w:footnote w:id="64">
    <w:p w14:paraId="7101154B" w14:textId="0331FAC5" w:rsidR="00657756" w:rsidRPr="00EE7377" w:rsidRDefault="00657756" w:rsidP="00685365">
      <w:pPr>
        <w:pStyle w:val="FootnoteText"/>
      </w:pPr>
      <w:r w:rsidRPr="00EE7377">
        <w:rPr>
          <w:rStyle w:val="FootnoteReference"/>
        </w:rPr>
        <w:footnoteRef/>
      </w:r>
      <w:r w:rsidR="005A0488" w:rsidRPr="005A0488">
        <w:t>  </w:t>
      </w:r>
      <w:r>
        <w:t>“</w:t>
      </w:r>
      <w:r w:rsidRPr="00EE7377">
        <w:t>The Risk Premium Approach to Measuring a Utility</w:t>
      </w:r>
      <w:r>
        <w:t>’</w:t>
      </w:r>
      <w:r w:rsidRPr="00EE7377">
        <w:t>s Cost of Equity,</w:t>
      </w:r>
      <w:r>
        <w:t>”</w:t>
      </w:r>
      <w:r w:rsidRPr="00EE7377">
        <w:t xml:space="preserve"> </w:t>
      </w:r>
      <w:r w:rsidRPr="00EE7377">
        <w:rPr>
          <w:i/>
        </w:rPr>
        <w:t>Financial Management</w:t>
      </w:r>
      <w:r w:rsidRPr="00EE7377">
        <w:t xml:space="preserve">, </w:t>
      </w:r>
      <w:r>
        <w:t xml:space="preserve">Spring 1985, </w:t>
      </w:r>
      <w:r w:rsidRPr="00EE7377">
        <w:t>at 44.</w:t>
      </w:r>
    </w:p>
  </w:footnote>
  <w:footnote w:id="65">
    <w:p w14:paraId="519ADA40" w14:textId="69DE2F5B" w:rsidR="00657756" w:rsidRPr="00EE7377" w:rsidRDefault="00657756" w:rsidP="00685365">
      <w:pPr>
        <w:pStyle w:val="FootnoteText"/>
      </w:pPr>
      <w:r w:rsidRPr="00EE7377">
        <w:rPr>
          <w:rStyle w:val="FootnoteReference"/>
        </w:rPr>
        <w:footnoteRef/>
      </w:r>
      <w:r w:rsidR="005A0488" w:rsidRPr="005A0488">
        <w:t>  </w:t>
      </w:r>
      <w:r>
        <w:t>Nelson Direct Testimony at 50-61</w:t>
      </w:r>
      <w:r w:rsidRPr="00EE7377">
        <w:t>.</w:t>
      </w:r>
    </w:p>
  </w:footnote>
  <w:footnote w:id="66">
    <w:p w14:paraId="3CB3BAC4" w14:textId="6F4C5BF2" w:rsidR="00657756" w:rsidRPr="00EE7377" w:rsidRDefault="00657756" w:rsidP="00685365">
      <w:pPr>
        <w:pStyle w:val="FootnoteText"/>
      </w:pPr>
      <w:r w:rsidRPr="00EE7377">
        <w:rPr>
          <w:rStyle w:val="FootnoteReference"/>
        </w:rPr>
        <w:footnoteRef/>
      </w:r>
      <w:r w:rsidR="005A0488" w:rsidRPr="005A0488">
        <w:t>  </w:t>
      </w:r>
      <w:r w:rsidRPr="004008C3">
        <w:rPr>
          <w:i/>
        </w:rPr>
        <w:t>Standard &amp; Poor</w:t>
      </w:r>
      <w:r>
        <w:rPr>
          <w:i/>
        </w:rPr>
        <w:t>’</w:t>
      </w:r>
      <w:r w:rsidRPr="004008C3">
        <w:rPr>
          <w:i/>
        </w:rPr>
        <w:t xml:space="preserve">s </w:t>
      </w:r>
      <w:proofErr w:type="spellStart"/>
      <w:r w:rsidRPr="004008C3">
        <w:rPr>
          <w:i/>
        </w:rPr>
        <w:t>RatingsDirect</w:t>
      </w:r>
      <w:proofErr w:type="spellEnd"/>
      <w:r w:rsidRPr="004008C3">
        <w:rPr>
          <w:i/>
        </w:rPr>
        <w:t>:</w:t>
      </w:r>
      <w:r w:rsidRPr="00EE7377">
        <w:t xml:space="preserve"> </w:t>
      </w:r>
      <w:r>
        <w:t>“</w:t>
      </w:r>
      <w:r w:rsidRPr="00EE7377">
        <w:t>Criteria/Corporates/General:  Corporate Methodology,</w:t>
      </w:r>
      <w:r>
        <w:t>”</w:t>
      </w:r>
      <w:r w:rsidRPr="00EE7377">
        <w:t xml:space="preserve"> Nov</w:t>
      </w:r>
      <w:r>
        <w:t>ember</w:t>
      </w:r>
      <w:r w:rsidRPr="00EE7377">
        <w:t> 19, 2013.</w:t>
      </w:r>
    </w:p>
  </w:footnote>
  <w:footnote w:id="67">
    <w:p w14:paraId="5610D229" w14:textId="5D99268F" w:rsidR="00657756" w:rsidRDefault="00657756" w:rsidP="00685365">
      <w:pPr>
        <w:pStyle w:val="FootnoteText"/>
      </w:pPr>
      <w:r>
        <w:rPr>
          <w:rStyle w:val="FootnoteReference"/>
        </w:rPr>
        <w:footnoteRef/>
      </w:r>
      <w:r w:rsidR="005A0488" w:rsidRPr="005A0488">
        <w:t>  </w:t>
      </w:r>
      <w:r>
        <w:t>Nelson Direct Testimony at 60.</w:t>
      </w:r>
    </w:p>
  </w:footnote>
  <w:footnote w:id="68">
    <w:p w14:paraId="572075ED" w14:textId="66E20AF1" w:rsidR="00657756" w:rsidRDefault="00657756" w:rsidP="00C86197">
      <w:pPr>
        <w:pStyle w:val="FootnoteText"/>
      </w:pPr>
      <w:r>
        <w:rPr>
          <w:rStyle w:val="FootnoteReference"/>
        </w:rPr>
        <w:footnoteRef/>
      </w:r>
      <w:r w:rsidR="005A0488" w:rsidRPr="005A0488">
        <w:t>  </w:t>
      </w:r>
      <w:r w:rsidRPr="00C76D8F">
        <w:rPr>
          <w:i/>
        </w:rPr>
        <w:t>Id.</w:t>
      </w:r>
    </w:p>
  </w:footnote>
  <w:footnote w:id="69">
    <w:p w14:paraId="5E5B4A61" w14:textId="7B05C710" w:rsidR="00657756" w:rsidRDefault="00657756" w:rsidP="00685365">
      <w:pPr>
        <w:pStyle w:val="FootnoteText"/>
      </w:pPr>
      <w:r>
        <w:rPr>
          <w:rStyle w:val="FootnoteReference"/>
        </w:rPr>
        <w:footnoteRef/>
      </w:r>
      <w:r w:rsidR="005A0488" w:rsidRPr="005A0488">
        <w:t>  </w:t>
      </w:r>
      <w:r>
        <w:rPr>
          <w:i/>
        </w:rPr>
        <w:t>Id</w:t>
      </w:r>
      <w:r>
        <w:t>.</w:t>
      </w:r>
    </w:p>
  </w:footnote>
  <w:footnote w:id="70">
    <w:p w14:paraId="6F41631F" w14:textId="0767B8AE" w:rsidR="00657756" w:rsidRPr="00EE7377" w:rsidRDefault="00657756" w:rsidP="00685365">
      <w:pPr>
        <w:pStyle w:val="FootnoteText"/>
      </w:pPr>
      <w:r w:rsidRPr="00EC3411">
        <w:rPr>
          <w:rStyle w:val="FootnoteReference"/>
          <w:i/>
        </w:rPr>
        <w:footnoteRef/>
      </w:r>
      <w:r w:rsidR="005A0488" w:rsidRPr="005A0488">
        <w:t>  </w:t>
      </w:r>
      <w:r w:rsidR="00EC3411">
        <w:rPr>
          <w:i/>
        </w:rPr>
        <w:t>Id</w:t>
      </w:r>
      <w:r w:rsidR="00EC3411">
        <w:t>.</w:t>
      </w:r>
      <w:r>
        <w:t xml:space="preserve"> at 17-28</w:t>
      </w:r>
      <w:r w:rsidRPr="00EE7377">
        <w:t>.</w:t>
      </w:r>
    </w:p>
  </w:footnote>
  <w:footnote w:id="71">
    <w:p w14:paraId="3A848E14" w14:textId="56C8DBDF" w:rsidR="00657756" w:rsidRDefault="00657756" w:rsidP="00685365">
      <w:pPr>
        <w:pStyle w:val="FootnoteText"/>
      </w:pPr>
      <w:r>
        <w:rPr>
          <w:rStyle w:val="FootnoteReference"/>
        </w:rPr>
        <w:footnoteRef/>
      </w:r>
      <w:r w:rsidR="005A0488" w:rsidRPr="005A0488">
        <w:t>  </w:t>
      </w:r>
      <w:r w:rsidR="00EC3411">
        <w:rPr>
          <w:i/>
        </w:rPr>
        <w:t>Id</w:t>
      </w:r>
      <w:r w:rsidR="00EC3411">
        <w:t>.</w:t>
      </w:r>
      <w:r>
        <w:t xml:space="preserve"> at 18-20.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9F333" w14:textId="77777777" w:rsidR="00657756" w:rsidRDefault="00657756">
    <w:pPr>
      <w:pStyle w:val="Header"/>
      <w:tabs>
        <w:tab w:val="clear" w:pos="4320"/>
        <w:tab w:val="clear" w:pos="8640"/>
        <w:tab w:val="right" w:pos="9360"/>
      </w:tabs>
      <w:rPr>
        <w:b/>
      </w:rPr>
    </w:pPr>
    <w:r>
      <w:tab/>
    </w:r>
    <w:r>
      <w:rPr>
        <w:b/>
      </w:rPr>
      <w:t>Kathryn E. Iverson</w:t>
    </w:r>
  </w:p>
  <w:p w14:paraId="5F83D64C" w14:textId="77777777" w:rsidR="00657756" w:rsidRDefault="00657756">
    <w:pPr>
      <w:pStyle w:val="Header"/>
      <w:tabs>
        <w:tab w:val="clear" w:pos="4320"/>
        <w:tab w:val="clear" w:pos="8640"/>
        <w:tab w:val="right" w:pos="9360"/>
      </w:tabs>
      <w:rPr>
        <w:b/>
      </w:rPr>
    </w:pP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123</w:t>
    </w:r>
    <w:r>
      <w:rPr>
        <w:rStyle w:val="PageNumber"/>
        <w:b/>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94AE5" w14:textId="77777777" w:rsidR="00657756" w:rsidRDefault="00657756">
    <w:pPr>
      <w:pStyle w:val="Header"/>
      <w:jc w:val="right"/>
      <w:rPr>
        <w:rFonts w:cs="Arial"/>
        <w:b/>
        <w:bCs/>
      </w:rPr>
    </w:pPr>
    <w:r>
      <w:rPr>
        <w:rFonts w:cs="Arial"/>
        <w:b/>
        <w:bCs/>
      </w:rPr>
      <w:t>Appendix A</w:t>
    </w:r>
  </w:p>
  <w:p w14:paraId="6F8B05E9" w14:textId="77777777" w:rsidR="00657756" w:rsidRDefault="00657756">
    <w:pPr>
      <w:pStyle w:val="Header"/>
      <w:jc w:val="right"/>
      <w:rPr>
        <w:rFonts w:cs="Arial"/>
        <w:b/>
        <w:bCs/>
      </w:rPr>
    </w:pPr>
    <w:r>
      <w:rPr>
        <w:rFonts w:cs="Arial"/>
        <w:b/>
        <w:bCs/>
      </w:rPr>
      <w:t>Maurice Brubaker</w:t>
    </w:r>
  </w:p>
  <w:p w14:paraId="436EA9DD" w14:textId="77777777" w:rsidR="00657756" w:rsidRDefault="00657756">
    <w:pPr>
      <w:pStyle w:val="Header"/>
      <w:jc w:val="right"/>
      <w:rPr>
        <w:rStyle w:val="PageNumber"/>
        <w:rFonts w:cs="Arial"/>
        <w:b/>
        <w:bCs/>
      </w:rPr>
    </w:pPr>
    <w:r>
      <w:rPr>
        <w:rFonts w:cs="Arial"/>
        <w:b/>
        <w:bCs/>
      </w:rPr>
      <w:t xml:space="preserve">Page </w:t>
    </w:r>
    <w:r>
      <w:rPr>
        <w:rStyle w:val="PageNumber"/>
        <w:rFonts w:cs="Arial"/>
        <w:b/>
        <w:bCs/>
      </w:rPr>
      <w:fldChar w:fldCharType="begin"/>
    </w:r>
    <w:r>
      <w:rPr>
        <w:rStyle w:val="PageNumber"/>
        <w:rFonts w:cs="Arial"/>
        <w:b/>
        <w:bCs/>
      </w:rPr>
      <w:instrText xml:space="preserve"> PAGE </w:instrText>
    </w:r>
    <w:r>
      <w:rPr>
        <w:rStyle w:val="PageNumber"/>
        <w:rFonts w:cs="Arial"/>
        <w:b/>
        <w:bCs/>
      </w:rPr>
      <w:fldChar w:fldCharType="separate"/>
    </w:r>
    <w:r>
      <w:rPr>
        <w:rStyle w:val="PageNumber"/>
        <w:rFonts w:cs="Arial"/>
        <w:b/>
        <w:bCs/>
        <w:noProof/>
      </w:rPr>
      <w:t>1</w:t>
    </w:r>
    <w:r>
      <w:rPr>
        <w:rStyle w:val="PageNumber"/>
        <w:rFonts w:cs="Arial"/>
        <w:b/>
        <w:bCs/>
      </w:rPr>
      <w:fldChar w:fldCharType="end"/>
    </w:r>
  </w:p>
  <w:p w14:paraId="0777649F" w14:textId="77777777" w:rsidR="00657756" w:rsidRDefault="00657756">
    <w:pPr>
      <w:pStyle w:val="Header"/>
      <w:jc w:val="right"/>
    </w:pPr>
  </w:p>
  <w:p w14:paraId="0A5BD95E" w14:textId="77777777" w:rsidR="00657756" w:rsidRDefault="00657756">
    <w:pPr>
      <w:pStyle w:val="Header"/>
      <w:jc w:val="right"/>
    </w:pPr>
  </w:p>
  <w:p w14:paraId="00AEA812" w14:textId="77777777" w:rsidR="00657756" w:rsidRDefault="0065775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BB40A" w14:textId="77777777" w:rsidR="00657756" w:rsidRDefault="00657756">
    <w:pPr>
      <w:pStyle w:val="Header"/>
      <w:tabs>
        <w:tab w:val="clear" w:pos="8640"/>
      </w:tabs>
      <w:jc w:val="right"/>
      <w:rPr>
        <w:b/>
        <w:sz w:val="20"/>
      </w:rPr>
    </w:pPr>
    <w:r>
      <w:rPr>
        <w:b/>
        <w:sz w:val="20"/>
      </w:rPr>
      <w:t>Direct Testimony of Michael P. Gorman</w:t>
    </w:r>
  </w:p>
  <w:p w14:paraId="04169D42" w14:textId="77777777" w:rsidR="00657756" w:rsidRDefault="00657756">
    <w:pPr>
      <w:pStyle w:val="Header"/>
      <w:tabs>
        <w:tab w:val="clear" w:pos="8640"/>
      </w:tabs>
      <w:jc w:val="right"/>
      <w:rPr>
        <w:rStyle w:val="PageNumber"/>
        <w:b/>
        <w:sz w:val="20"/>
      </w:rPr>
    </w:pPr>
    <w:r>
      <w:rPr>
        <w:b/>
        <w:sz w:val="20"/>
      </w:rPr>
      <w:tab/>
    </w:r>
    <w:r>
      <w:rPr>
        <w:b/>
        <w:sz w:val="20"/>
      </w:rPr>
      <w:tab/>
    </w:r>
  </w:p>
  <w:p w14:paraId="729B943C" w14:textId="77777777" w:rsidR="00657756" w:rsidRDefault="00657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BEBC5" w14:textId="77777777" w:rsidR="00657756" w:rsidRDefault="00657756">
    <w:pPr>
      <w:pStyle w:val="Header"/>
    </w:pPr>
  </w:p>
  <w:p w14:paraId="2AD0AB3A" w14:textId="77777777" w:rsidR="00657756" w:rsidRDefault="006577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928A2" w14:textId="77777777" w:rsidR="00993AF2" w:rsidRDefault="00993AF2">
    <w:pPr>
      <w:pStyle w:val="Header"/>
      <w:tabs>
        <w:tab w:val="clear" w:pos="8640"/>
      </w:tabs>
      <w:jc w:val="right"/>
      <w:rPr>
        <w:b/>
        <w:sz w:val="20"/>
      </w:rPr>
    </w:pPr>
    <w:r>
      <w:rPr>
        <w:b/>
        <w:sz w:val="20"/>
      </w:rPr>
      <w:t>Direct Testimony of Michael P. Gorman</w:t>
    </w:r>
  </w:p>
  <w:p w14:paraId="5388CE14" w14:textId="77777777" w:rsidR="00993AF2" w:rsidRDefault="00993AF2">
    <w:pPr>
      <w:pStyle w:val="Header"/>
      <w:tabs>
        <w:tab w:val="clear" w:pos="8640"/>
      </w:tabs>
      <w:jc w:val="right"/>
      <w:rPr>
        <w:rStyle w:val="PageNumber"/>
        <w:b/>
        <w:sz w:val="20"/>
      </w:rPr>
    </w:pPr>
    <w:r>
      <w:rPr>
        <w:b/>
        <w:sz w:val="20"/>
      </w:rPr>
      <w:tab/>
    </w:r>
    <w:r>
      <w:rPr>
        <w:b/>
        <w:sz w:val="20"/>
      </w:rPr>
      <w:tab/>
    </w:r>
  </w:p>
  <w:p w14:paraId="4256BF97" w14:textId="77777777" w:rsidR="00993AF2" w:rsidRDefault="00993A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8CF80" w14:textId="77777777" w:rsidR="002948F2" w:rsidRDefault="002948F2">
    <w:pPr>
      <w:pStyle w:val="Header"/>
      <w:tabs>
        <w:tab w:val="clear" w:pos="8640"/>
      </w:tabs>
      <w:jc w:val="right"/>
      <w:rPr>
        <w:b/>
        <w:sz w:val="20"/>
      </w:rPr>
    </w:pPr>
    <w:r>
      <w:rPr>
        <w:b/>
        <w:sz w:val="20"/>
      </w:rPr>
      <w:t>Direct Testimony of Michael P. Gorman</w:t>
    </w:r>
  </w:p>
  <w:p w14:paraId="5E9D6DFD" w14:textId="77777777" w:rsidR="002948F2" w:rsidRDefault="002948F2">
    <w:pPr>
      <w:pStyle w:val="Header"/>
      <w:tabs>
        <w:tab w:val="clear" w:pos="8640"/>
      </w:tabs>
      <w:jc w:val="right"/>
      <w:rPr>
        <w:rStyle w:val="PageNumber"/>
        <w:b/>
        <w:sz w:val="20"/>
      </w:rPr>
    </w:pPr>
    <w:r>
      <w:rPr>
        <w:b/>
        <w:sz w:val="20"/>
      </w:rPr>
      <w:tab/>
    </w:r>
    <w:r>
      <w:rPr>
        <w:b/>
        <w:sz w:val="20"/>
      </w:rPr>
      <w:tab/>
    </w:r>
  </w:p>
  <w:p w14:paraId="589172ED" w14:textId="77777777" w:rsidR="002948F2" w:rsidRPr="007C2E48" w:rsidRDefault="002948F2" w:rsidP="00863085">
    <w:pPr>
      <w:pStyle w:val="Header"/>
      <w:tabs>
        <w:tab w:val="clear" w:pos="8640"/>
      </w:tabs>
      <w:jc w:val="center"/>
      <w:rPr>
        <w:rStyle w:val="PageNumber"/>
        <w:b/>
        <w:color w:val="000000" w:themeColor="text1"/>
        <w:sz w:val="20"/>
      </w:rPr>
    </w:pPr>
    <w:r w:rsidRPr="007C2E48">
      <w:rPr>
        <w:b/>
        <w:color w:val="000000" w:themeColor="text1"/>
        <w:sz w:val="20"/>
      </w:rPr>
      <w:t>REDACTED</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A8F43" w14:textId="77777777" w:rsidR="002948F2" w:rsidRDefault="002948F2">
    <w:pPr>
      <w:pStyle w:val="Header"/>
      <w:tabs>
        <w:tab w:val="clear" w:pos="8640"/>
      </w:tabs>
      <w:jc w:val="right"/>
      <w:rPr>
        <w:b/>
        <w:sz w:val="20"/>
      </w:rPr>
    </w:pPr>
    <w:r>
      <w:rPr>
        <w:b/>
        <w:sz w:val="20"/>
      </w:rPr>
      <w:t>Direct Testimony of Michael P. Gorman</w:t>
    </w:r>
  </w:p>
  <w:p w14:paraId="63F6C75E" w14:textId="77777777" w:rsidR="002948F2" w:rsidRDefault="002948F2">
    <w:pPr>
      <w:pStyle w:val="Header"/>
      <w:tabs>
        <w:tab w:val="clear" w:pos="8640"/>
      </w:tabs>
      <w:jc w:val="right"/>
      <w:rPr>
        <w:rStyle w:val="PageNumber"/>
        <w:b/>
        <w:sz w:val="20"/>
      </w:rPr>
    </w:pPr>
    <w:r>
      <w:rPr>
        <w:b/>
        <w:sz w:val="20"/>
      </w:rPr>
      <w:tab/>
    </w:r>
    <w:r>
      <w:rPr>
        <w:b/>
        <w:sz w:val="20"/>
      </w:rPr>
      <w:tab/>
    </w:r>
  </w:p>
  <w:p w14:paraId="0D4B4CAD" w14:textId="77777777" w:rsidR="002948F2" w:rsidRDefault="002948F2" w:rsidP="00863085">
    <w:pPr>
      <w:pStyle w:val="Header"/>
      <w:tabs>
        <w:tab w:val="clear" w:pos="8640"/>
      </w:tabs>
      <w:jc w:val="center"/>
      <w:rPr>
        <w:rStyle w:val="PageNumber"/>
        <w:b/>
        <w:sz w:val="20"/>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BDC8A" w14:textId="77777777" w:rsidR="00863085" w:rsidRDefault="00863085">
    <w:pPr>
      <w:pStyle w:val="Header"/>
      <w:tabs>
        <w:tab w:val="clear" w:pos="8640"/>
      </w:tabs>
      <w:jc w:val="right"/>
      <w:rPr>
        <w:b/>
        <w:sz w:val="20"/>
      </w:rPr>
    </w:pPr>
    <w:r>
      <w:rPr>
        <w:b/>
        <w:sz w:val="20"/>
      </w:rPr>
      <w:t>Direct Testimony of Michael P. Gorman</w:t>
    </w:r>
  </w:p>
  <w:p w14:paraId="28786CB5" w14:textId="77777777" w:rsidR="00863085" w:rsidRDefault="00863085">
    <w:pPr>
      <w:pStyle w:val="Header"/>
      <w:tabs>
        <w:tab w:val="clear" w:pos="8640"/>
      </w:tabs>
      <w:jc w:val="right"/>
      <w:rPr>
        <w:rStyle w:val="PageNumber"/>
        <w:b/>
        <w:sz w:val="20"/>
      </w:rPr>
    </w:pPr>
    <w:r>
      <w:rPr>
        <w:b/>
        <w:sz w:val="20"/>
      </w:rPr>
      <w:tab/>
    </w:r>
    <w:r>
      <w:rPr>
        <w:b/>
        <w:sz w:val="20"/>
      </w:rPr>
      <w:tab/>
    </w:r>
  </w:p>
  <w:p w14:paraId="2EEF15AD" w14:textId="084135C1" w:rsidR="00863085" w:rsidRDefault="00863085" w:rsidP="00863085">
    <w:pPr>
      <w:pStyle w:val="Header"/>
      <w:tabs>
        <w:tab w:val="clear" w:pos="8640"/>
      </w:tabs>
      <w:jc w:val="center"/>
      <w:rPr>
        <w:rStyle w:val="PageNumber"/>
        <w:b/>
        <w:sz w:val="2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E7E2D" w14:textId="77777777" w:rsidR="00657756" w:rsidRDefault="00657756">
    <w:pPr>
      <w:pStyle w:val="Header"/>
    </w:pPr>
  </w:p>
  <w:p w14:paraId="3B6B60A9" w14:textId="77777777" w:rsidR="00657756" w:rsidRDefault="00657756"/>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E96F4" w14:textId="77777777" w:rsidR="00657756" w:rsidRDefault="00657756">
    <w:pPr>
      <w:pStyle w:val="Header"/>
      <w:tabs>
        <w:tab w:val="clear" w:pos="8640"/>
      </w:tabs>
      <w:jc w:val="right"/>
      <w:rPr>
        <w:b/>
        <w:sz w:val="20"/>
      </w:rPr>
    </w:pPr>
    <w:r>
      <w:rPr>
        <w:b/>
        <w:sz w:val="20"/>
      </w:rPr>
      <w:t>Appendix A</w:t>
    </w:r>
  </w:p>
  <w:p w14:paraId="2F41E93B" w14:textId="77777777" w:rsidR="00657756" w:rsidRDefault="00657756">
    <w:pPr>
      <w:pStyle w:val="Header"/>
      <w:tabs>
        <w:tab w:val="clear" w:pos="8640"/>
      </w:tabs>
      <w:jc w:val="right"/>
      <w:rPr>
        <w:b/>
        <w:sz w:val="20"/>
      </w:rPr>
    </w:pPr>
    <w:r>
      <w:rPr>
        <w:b/>
        <w:sz w:val="20"/>
      </w:rPr>
      <w:t>Direct Testimony of Michael P. Gorman</w:t>
    </w:r>
  </w:p>
  <w:p w14:paraId="0E9D4711" w14:textId="77777777" w:rsidR="00657756" w:rsidRDefault="00657756">
    <w:pPr>
      <w:pStyle w:val="Header"/>
      <w:tabs>
        <w:tab w:val="clear" w:pos="8640"/>
      </w:tabs>
      <w:jc w:val="right"/>
      <w:rPr>
        <w:rStyle w:val="PageNumber"/>
        <w:b/>
        <w:sz w:val="20"/>
      </w:rPr>
    </w:pPr>
    <w:r>
      <w:rPr>
        <w:b/>
        <w:sz w:val="20"/>
      </w:rPr>
      <w:tab/>
    </w:r>
    <w:r>
      <w:rPr>
        <w:b/>
        <w:sz w:val="20"/>
      </w:rPr>
      <w:tab/>
    </w:r>
    <w:r>
      <w:rPr>
        <w:b/>
        <w:sz w:val="20"/>
      </w:rPr>
      <w:tab/>
    </w:r>
  </w:p>
  <w:p w14:paraId="42BC075B" w14:textId="77777777" w:rsidR="00657756" w:rsidRDefault="00657756">
    <w:pPr>
      <w:pStyle w:val="Header"/>
    </w:pPr>
  </w:p>
  <w:p w14:paraId="42730008" w14:textId="77777777" w:rsidR="00657756" w:rsidRDefault="0065775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640D13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3C80AA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36F2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A669AB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8001F4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1EA666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00CA97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72B35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05886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5263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41"/>
    <w:multiLevelType w:val="multilevel"/>
    <w:tmpl w:val="00000000"/>
    <w:lvl w:ilvl="0">
      <w:start w:val="1"/>
      <w:numFmt w:val="upperLetter"/>
      <w:pStyle w:val="Level1"/>
      <w:lvlText w:val="%1:"/>
      <w:lvlJc w:val="left"/>
      <w:pPr>
        <w:tabs>
          <w:tab w:val="num" w:pos="720"/>
        </w:tabs>
        <w:ind w:left="720" w:hanging="720"/>
      </w:pPr>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B557A74"/>
    <w:multiLevelType w:val="hybridMultilevel"/>
    <w:tmpl w:val="2716E7EE"/>
    <w:lvl w:ilvl="0" w:tplc="813427E6">
      <w:start w:val="1"/>
      <w:numFmt w:val="decimal"/>
      <w:lvlText w:val="%1."/>
      <w:lvlJc w:val="left"/>
      <w:pPr>
        <w:ind w:left="1800" w:hanging="360"/>
      </w:pPr>
      <w:rPr>
        <w:rFonts w:hint="default"/>
      </w:rPr>
    </w:lvl>
    <w:lvl w:ilvl="1" w:tplc="2C505A86" w:tentative="1">
      <w:start w:val="1"/>
      <w:numFmt w:val="lowerLetter"/>
      <w:lvlText w:val="%2."/>
      <w:lvlJc w:val="left"/>
      <w:pPr>
        <w:ind w:left="2520" w:hanging="360"/>
      </w:pPr>
    </w:lvl>
    <w:lvl w:ilvl="2" w:tplc="4DAE907A" w:tentative="1">
      <w:start w:val="1"/>
      <w:numFmt w:val="lowerRoman"/>
      <w:lvlText w:val="%3."/>
      <w:lvlJc w:val="right"/>
      <w:pPr>
        <w:ind w:left="3240" w:hanging="180"/>
      </w:pPr>
    </w:lvl>
    <w:lvl w:ilvl="3" w:tplc="31FE6324" w:tentative="1">
      <w:start w:val="1"/>
      <w:numFmt w:val="decimal"/>
      <w:lvlText w:val="%4."/>
      <w:lvlJc w:val="left"/>
      <w:pPr>
        <w:ind w:left="3960" w:hanging="360"/>
      </w:pPr>
    </w:lvl>
    <w:lvl w:ilvl="4" w:tplc="D5EC7576" w:tentative="1">
      <w:start w:val="1"/>
      <w:numFmt w:val="lowerLetter"/>
      <w:lvlText w:val="%5."/>
      <w:lvlJc w:val="left"/>
      <w:pPr>
        <w:ind w:left="4680" w:hanging="360"/>
      </w:pPr>
    </w:lvl>
    <w:lvl w:ilvl="5" w:tplc="C502822A" w:tentative="1">
      <w:start w:val="1"/>
      <w:numFmt w:val="lowerRoman"/>
      <w:lvlText w:val="%6."/>
      <w:lvlJc w:val="right"/>
      <w:pPr>
        <w:ind w:left="5400" w:hanging="180"/>
      </w:pPr>
    </w:lvl>
    <w:lvl w:ilvl="6" w:tplc="ED0C72C6" w:tentative="1">
      <w:start w:val="1"/>
      <w:numFmt w:val="decimal"/>
      <w:lvlText w:val="%7."/>
      <w:lvlJc w:val="left"/>
      <w:pPr>
        <w:ind w:left="6120" w:hanging="360"/>
      </w:pPr>
    </w:lvl>
    <w:lvl w:ilvl="7" w:tplc="B12C7A2C" w:tentative="1">
      <w:start w:val="1"/>
      <w:numFmt w:val="lowerLetter"/>
      <w:lvlText w:val="%8."/>
      <w:lvlJc w:val="left"/>
      <w:pPr>
        <w:ind w:left="6840" w:hanging="360"/>
      </w:pPr>
    </w:lvl>
    <w:lvl w:ilvl="8" w:tplc="7F181912" w:tentative="1">
      <w:start w:val="1"/>
      <w:numFmt w:val="lowerRoman"/>
      <w:lvlText w:val="%9."/>
      <w:lvlJc w:val="right"/>
      <w:pPr>
        <w:ind w:left="7560" w:hanging="180"/>
      </w:pPr>
    </w:lvl>
  </w:abstractNum>
  <w:abstractNum w:abstractNumId="12" w15:restartNumberingAfterBreak="0">
    <w:nsid w:val="10E01407"/>
    <w:multiLevelType w:val="multilevel"/>
    <w:tmpl w:val="0254CE00"/>
    <w:lvl w:ilvl="0">
      <w:start w:val="1"/>
      <w:numFmt w:val="decimal"/>
      <w:pStyle w:val="ListNum"/>
      <w:lvlText w:val="%1."/>
      <w:lvlJc w:val="left"/>
      <w:pPr>
        <w:tabs>
          <w:tab w:val="num" w:pos="720"/>
        </w:tabs>
        <w:ind w:left="0" w:firstLine="720"/>
      </w:pPr>
      <w:rPr>
        <w:rFonts w:hint="default"/>
      </w:rPr>
    </w:lvl>
    <w:lvl w:ilvl="1">
      <w:start w:val="1"/>
      <w:numFmt w:val="decimal"/>
      <w:lvlText w:val="%2."/>
      <w:lvlJc w:val="left"/>
      <w:pPr>
        <w:tabs>
          <w:tab w:val="num" w:pos="1440"/>
        </w:tabs>
        <w:ind w:left="720" w:firstLine="720"/>
      </w:pPr>
      <w:rPr>
        <w:rFonts w:hint="default"/>
      </w:rPr>
    </w:lvl>
    <w:lvl w:ilvl="2">
      <w:start w:val="1"/>
      <w:numFmt w:val="decimal"/>
      <w:lvlText w:val="%3."/>
      <w:lvlJc w:val="left"/>
      <w:pPr>
        <w:tabs>
          <w:tab w:val="num" w:pos="2160"/>
        </w:tabs>
        <w:ind w:left="1440" w:firstLine="720"/>
      </w:pPr>
      <w:rPr>
        <w:rFonts w:hint="default"/>
      </w:rPr>
    </w:lvl>
    <w:lvl w:ilvl="3">
      <w:start w:val="1"/>
      <w:numFmt w:val="decimal"/>
      <w:lvlText w:val="(%4)"/>
      <w:lvlJc w:val="left"/>
      <w:pPr>
        <w:tabs>
          <w:tab w:val="num" w:pos="2880"/>
        </w:tabs>
        <w:ind w:left="2160" w:firstLine="720"/>
      </w:pPr>
      <w:rPr>
        <w:rFonts w:hint="default"/>
      </w:rPr>
    </w:lvl>
    <w:lvl w:ilvl="4">
      <w:start w:val="1"/>
      <w:numFmt w:val="lowerLetter"/>
      <w:lvlText w:val="(%5)"/>
      <w:lvlJc w:val="left"/>
      <w:pPr>
        <w:tabs>
          <w:tab w:val="num" w:pos="3600"/>
        </w:tabs>
        <w:ind w:left="2880" w:firstLine="720"/>
      </w:pPr>
      <w:rPr>
        <w:rFonts w:hint="default"/>
      </w:rPr>
    </w:lvl>
    <w:lvl w:ilvl="5">
      <w:start w:val="1"/>
      <w:numFmt w:val="lowerRoman"/>
      <w:lvlText w:val="(%6)"/>
      <w:lvlJc w:val="left"/>
      <w:pPr>
        <w:tabs>
          <w:tab w:val="num" w:pos="4320"/>
        </w:tabs>
        <w:ind w:left="3600" w:firstLine="720"/>
      </w:pPr>
      <w:rPr>
        <w:rFonts w:hint="default"/>
      </w:rPr>
    </w:lvl>
    <w:lvl w:ilvl="6">
      <w:start w:val="1"/>
      <w:numFmt w:val="decimal"/>
      <w:lvlText w:val="%7."/>
      <w:lvlJc w:val="left"/>
      <w:pPr>
        <w:tabs>
          <w:tab w:val="num" w:pos="5040"/>
        </w:tabs>
        <w:ind w:left="4320" w:firstLine="720"/>
      </w:pPr>
      <w:rPr>
        <w:rFonts w:hint="default"/>
      </w:rPr>
    </w:lvl>
    <w:lvl w:ilvl="7">
      <w:start w:val="1"/>
      <w:numFmt w:val="lowerLetter"/>
      <w:lvlText w:val="%8."/>
      <w:lvlJc w:val="left"/>
      <w:pPr>
        <w:tabs>
          <w:tab w:val="num" w:pos="5760"/>
        </w:tabs>
        <w:ind w:left="5040" w:firstLine="720"/>
      </w:pPr>
      <w:rPr>
        <w:rFonts w:hint="default"/>
      </w:rPr>
    </w:lvl>
    <w:lvl w:ilvl="8">
      <w:start w:val="1"/>
      <w:numFmt w:val="lowerRoman"/>
      <w:lvlText w:val="%9."/>
      <w:lvlJc w:val="left"/>
      <w:pPr>
        <w:tabs>
          <w:tab w:val="num" w:pos="6480"/>
        </w:tabs>
        <w:ind w:left="5760" w:firstLine="720"/>
      </w:pPr>
      <w:rPr>
        <w:rFonts w:hint="default"/>
      </w:rPr>
    </w:lvl>
  </w:abstractNum>
  <w:abstractNum w:abstractNumId="13" w15:restartNumberingAfterBreak="0">
    <w:nsid w:val="29CD564E"/>
    <w:multiLevelType w:val="multilevel"/>
    <w:tmpl w:val="8710E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C82F8A"/>
    <w:multiLevelType w:val="hybridMultilevel"/>
    <w:tmpl w:val="18780F04"/>
    <w:lvl w:ilvl="0" w:tplc="9386F9AE">
      <w:start w:val="1"/>
      <w:numFmt w:val="bullet"/>
      <w:pStyle w:val="Bonbright"/>
      <w:lvlText w:val=""/>
      <w:lvlJc w:val="left"/>
      <w:pPr>
        <w:ind w:left="720" w:hanging="360"/>
      </w:pPr>
      <w:rPr>
        <w:rFonts w:ascii="Symbol" w:hAnsi="Symbol" w:hint="default"/>
      </w:rPr>
    </w:lvl>
    <w:lvl w:ilvl="1" w:tplc="1ACE9360" w:tentative="1">
      <w:start w:val="1"/>
      <w:numFmt w:val="bullet"/>
      <w:lvlText w:val="o"/>
      <w:lvlJc w:val="left"/>
      <w:pPr>
        <w:ind w:left="1440" w:hanging="360"/>
      </w:pPr>
      <w:rPr>
        <w:rFonts w:ascii="Courier New" w:hAnsi="Courier New" w:cs="Courier New" w:hint="default"/>
      </w:rPr>
    </w:lvl>
    <w:lvl w:ilvl="2" w:tplc="450668BC" w:tentative="1">
      <w:start w:val="1"/>
      <w:numFmt w:val="bullet"/>
      <w:lvlText w:val=""/>
      <w:lvlJc w:val="left"/>
      <w:pPr>
        <w:ind w:left="2160" w:hanging="360"/>
      </w:pPr>
      <w:rPr>
        <w:rFonts w:ascii="Wingdings" w:hAnsi="Wingdings" w:hint="default"/>
      </w:rPr>
    </w:lvl>
    <w:lvl w:ilvl="3" w:tplc="7B3C407E" w:tentative="1">
      <w:start w:val="1"/>
      <w:numFmt w:val="bullet"/>
      <w:lvlText w:val=""/>
      <w:lvlJc w:val="left"/>
      <w:pPr>
        <w:ind w:left="2880" w:hanging="360"/>
      </w:pPr>
      <w:rPr>
        <w:rFonts w:ascii="Symbol" w:hAnsi="Symbol" w:hint="default"/>
      </w:rPr>
    </w:lvl>
    <w:lvl w:ilvl="4" w:tplc="7EE824F2" w:tentative="1">
      <w:start w:val="1"/>
      <w:numFmt w:val="bullet"/>
      <w:lvlText w:val="o"/>
      <w:lvlJc w:val="left"/>
      <w:pPr>
        <w:ind w:left="3600" w:hanging="360"/>
      </w:pPr>
      <w:rPr>
        <w:rFonts w:ascii="Courier New" w:hAnsi="Courier New" w:cs="Courier New" w:hint="default"/>
      </w:rPr>
    </w:lvl>
    <w:lvl w:ilvl="5" w:tplc="D34830CE" w:tentative="1">
      <w:start w:val="1"/>
      <w:numFmt w:val="bullet"/>
      <w:lvlText w:val=""/>
      <w:lvlJc w:val="left"/>
      <w:pPr>
        <w:ind w:left="4320" w:hanging="360"/>
      </w:pPr>
      <w:rPr>
        <w:rFonts w:ascii="Wingdings" w:hAnsi="Wingdings" w:hint="default"/>
      </w:rPr>
    </w:lvl>
    <w:lvl w:ilvl="6" w:tplc="95C05EE8" w:tentative="1">
      <w:start w:val="1"/>
      <w:numFmt w:val="bullet"/>
      <w:lvlText w:val=""/>
      <w:lvlJc w:val="left"/>
      <w:pPr>
        <w:ind w:left="5040" w:hanging="360"/>
      </w:pPr>
      <w:rPr>
        <w:rFonts w:ascii="Symbol" w:hAnsi="Symbol" w:hint="default"/>
      </w:rPr>
    </w:lvl>
    <w:lvl w:ilvl="7" w:tplc="6630C26A" w:tentative="1">
      <w:start w:val="1"/>
      <w:numFmt w:val="bullet"/>
      <w:lvlText w:val="o"/>
      <w:lvlJc w:val="left"/>
      <w:pPr>
        <w:ind w:left="5760" w:hanging="360"/>
      </w:pPr>
      <w:rPr>
        <w:rFonts w:ascii="Courier New" w:hAnsi="Courier New" w:cs="Courier New" w:hint="default"/>
      </w:rPr>
    </w:lvl>
    <w:lvl w:ilvl="8" w:tplc="DE945F04" w:tentative="1">
      <w:start w:val="1"/>
      <w:numFmt w:val="bullet"/>
      <w:lvlText w:val=""/>
      <w:lvlJc w:val="left"/>
      <w:pPr>
        <w:ind w:left="6480" w:hanging="360"/>
      </w:pPr>
      <w:rPr>
        <w:rFonts w:ascii="Wingdings" w:hAnsi="Wingdings" w:hint="default"/>
      </w:rPr>
    </w:lvl>
  </w:abstractNum>
  <w:abstractNum w:abstractNumId="15" w15:restartNumberingAfterBreak="0">
    <w:nsid w:val="5ECE5E97"/>
    <w:multiLevelType w:val="multilevel"/>
    <w:tmpl w:val="FFD2CE22"/>
    <w:lvl w:ilvl="0">
      <w:start w:val="1"/>
      <w:numFmt w:val="upperLetter"/>
      <w:pStyle w:val="ListAlpha"/>
      <w:lvlText w:val="%1."/>
      <w:lvlJc w:val="left"/>
      <w:pPr>
        <w:tabs>
          <w:tab w:val="num" w:pos="720"/>
        </w:tabs>
        <w:ind w:left="0" w:firstLine="720"/>
      </w:pPr>
      <w:rPr>
        <w:rFonts w:hint="default"/>
      </w:rPr>
    </w:lvl>
    <w:lvl w:ilvl="1">
      <w:start w:val="1"/>
      <w:numFmt w:val="upperLetter"/>
      <w:lvlText w:val="%2."/>
      <w:lvlJc w:val="left"/>
      <w:pPr>
        <w:tabs>
          <w:tab w:val="num" w:pos="1440"/>
        </w:tabs>
        <w:ind w:left="0" w:firstLine="1440"/>
      </w:pPr>
      <w:rPr>
        <w:rFonts w:hint="default"/>
      </w:rPr>
    </w:lvl>
    <w:lvl w:ilvl="2">
      <w:start w:val="1"/>
      <w:numFmt w:val="upperLetter"/>
      <w:lvlText w:val="%3."/>
      <w:lvlJc w:val="left"/>
      <w:pPr>
        <w:tabs>
          <w:tab w:val="num" w:pos="2160"/>
        </w:tabs>
        <w:ind w:left="0" w:firstLine="2160"/>
      </w:pPr>
      <w:rPr>
        <w:rFonts w:hint="default"/>
      </w:rPr>
    </w:lvl>
    <w:lvl w:ilvl="3">
      <w:start w:val="1"/>
      <w:numFmt w:val="decimal"/>
      <w:lvlText w:val="(%4)"/>
      <w:lvlJc w:val="left"/>
      <w:pPr>
        <w:tabs>
          <w:tab w:val="num" w:pos="2880"/>
        </w:tabs>
        <w:ind w:left="2160" w:firstLine="720"/>
      </w:pPr>
      <w:rPr>
        <w:rFonts w:hint="default"/>
      </w:rPr>
    </w:lvl>
    <w:lvl w:ilvl="4">
      <w:start w:val="1"/>
      <w:numFmt w:val="lowerLetter"/>
      <w:lvlText w:val="(%5)"/>
      <w:lvlJc w:val="left"/>
      <w:pPr>
        <w:tabs>
          <w:tab w:val="num" w:pos="3600"/>
        </w:tabs>
        <w:ind w:left="2880" w:firstLine="720"/>
      </w:pPr>
      <w:rPr>
        <w:rFonts w:hint="default"/>
      </w:rPr>
    </w:lvl>
    <w:lvl w:ilvl="5">
      <w:start w:val="1"/>
      <w:numFmt w:val="lowerRoman"/>
      <w:lvlText w:val="(%6)"/>
      <w:lvlJc w:val="left"/>
      <w:pPr>
        <w:tabs>
          <w:tab w:val="num" w:pos="4320"/>
        </w:tabs>
        <w:ind w:left="3600" w:firstLine="720"/>
      </w:pPr>
      <w:rPr>
        <w:rFonts w:hint="default"/>
      </w:rPr>
    </w:lvl>
    <w:lvl w:ilvl="6">
      <w:start w:val="1"/>
      <w:numFmt w:val="decimal"/>
      <w:lvlText w:val="%7."/>
      <w:lvlJc w:val="left"/>
      <w:pPr>
        <w:tabs>
          <w:tab w:val="num" w:pos="5040"/>
        </w:tabs>
        <w:ind w:left="4320" w:firstLine="720"/>
      </w:pPr>
      <w:rPr>
        <w:rFonts w:hint="default"/>
      </w:rPr>
    </w:lvl>
    <w:lvl w:ilvl="7">
      <w:start w:val="1"/>
      <w:numFmt w:val="lowerLetter"/>
      <w:lvlText w:val="%8."/>
      <w:lvlJc w:val="left"/>
      <w:pPr>
        <w:tabs>
          <w:tab w:val="num" w:pos="5760"/>
        </w:tabs>
        <w:ind w:left="5040" w:firstLine="720"/>
      </w:pPr>
      <w:rPr>
        <w:rFonts w:hint="default"/>
      </w:rPr>
    </w:lvl>
    <w:lvl w:ilvl="8">
      <w:start w:val="1"/>
      <w:numFmt w:val="lowerRoman"/>
      <w:lvlText w:val="%9."/>
      <w:lvlJc w:val="left"/>
      <w:pPr>
        <w:tabs>
          <w:tab w:val="num" w:pos="6480"/>
        </w:tabs>
        <w:ind w:left="5760" w:firstLine="720"/>
      </w:pPr>
      <w:rPr>
        <w:rFonts w:hint="default"/>
      </w:rPr>
    </w:lvl>
  </w:abstractNum>
  <w:abstractNum w:abstractNumId="16" w15:restartNumberingAfterBreak="0">
    <w:nsid w:val="63480643"/>
    <w:multiLevelType w:val="hybridMultilevel"/>
    <w:tmpl w:val="03A2ABBA"/>
    <w:lvl w:ilvl="0" w:tplc="64AED4D6">
      <w:start w:val="1"/>
      <w:numFmt w:val="decimal"/>
      <w:lvlText w:val="%1."/>
      <w:lvlJc w:val="left"/>
      <w:pPr>
        <w:ind w:left="1080" w:hanging="360"/>
      </w:pPr>
      <w:rPr>
        <w:rFonts w:hint="default"/>
      </w:rPr>
    </w:lvl>
    <w:lvl w:ilvl="1" w:tplc="D4AA149E" w:tentative="1">
      <w:start w:val="1"/>
      <w:numFmt w:val="lowerLetter"/>
      <w:lvlText w:val="%2."/>
      <w:lvlJc w:val="left"/>
      <w:pPr>
        <w:ind w:left="1800" w:hanging="360"/>
      </w:pPr>
    </w:lvl>
    <w:lvl w:ilvl="2" w:tplc="54026960" w:tentative="1">
      <w:start w:val="1"/>
      <w:numFmt w:val="lowerRoman"/>
      <w:lvlText w:val="%3."/>
      <w:lvlJc w:val="right"/>
      <w:pPr>
        <w:ind w:left="2520" w:hanging="180"/>
      </w:pPr>
    </w:lvl>
    <w:lvl w:ilvl="3" w:tplc="EFE26690" w:tentative="1">
      <w:start w:val="1"/>
      <w:numFmt w:val="decimal"/>
      <w:lvlText w:val="%4."/>
      <w:lvlJc w:val="left"/>
      <w:pPr>
        <w:ind w:left="3240" w:hanging="360"/>
      </w:pPr>
    </w:lvl>
    <w:lvl w:ilvl="4" w:tplc="2C04D986" w:tentative="1">
      <w:start w:val="1"/>
      <w:numFmt w:val="lowerLetter"/>
      <w:lvlText w:val="%5."/>
      <w:lvlJc w:val="left"/>
      <w:pPr>
        <w:ind w:left="3960" w:hanging="360"/>
      </w:pPr>
    </w:lvl>
    <w:lvl w:ilvl="5" w:tplc="66902A30" w:tentative="1">
      <w:start w:val="1"/>
      <w:numFmt w:val="lowerRoman"/>
      <w:lvlText w:val="%6."/>
      <w:lvlJc w:val="right"/>
      <w:pPr>
        <w:ind w:left="4680" w:hanging="180"/>
      </w:pPr>
    </w:lvl>
    <w:lvl w:ilvl="6" w:tplc="D05AB59C" w:tentative="1">
      <w:start w:val="1"/>
      <w:numFmt w:val="decimal"/>
      <w:lvlText w:val="%7."/>
      <w:lvlJc w:val="left"/>
      <w:pPr>
        <w:ind w:left="5400" w:hanging="360"/>
      </w:pPr>
    </w:lvl>
    <w:lvl w:ilvl="7" w:tplc="D7240478" w:tentative="1">
      <w:start w:val="1"/>
      <w:numFmt w:val="lowerLetter"/>
      <w:lvlText w:val="%8."/>
      <w:lvlJc w:val="left"/>
      <w:pPr>
        <w:ind w:left="6120" w:hanging="360"/>
      </w:pPr>
    </w:lvl>
    <w:lvl w:ilvl="8" w:tplc="AB72E03E" w:tentative="1">
      <w:start w:val="1"/>
      <w:numFmt w:val="lowerRoman"/>
      <w:lvlText w:val="%9."/>
      <w:lvlJc w:val="right"/>
      <w:pPr>
        <w:ind w:left="6840" w:hanging="180"/>
      </w:pPr>
    </w:lvl>
  </w:abstractNum>
  <w:abstractNum w:abstractNumId="17" w15:restartNumberingAfterBreak="0">
    <w:nsid w:val="64927EDA"/>
    <w:multiLevelType w:val="hybridMultilevel"/>
    <w:tmpl w:val="7CCC27F2"/>
    <w:lvl w:ilvl="0" w:tplc="AB6E2E92">
      <w:start w:val="1"/>
      <w:numFmt w:val="bullet"/>
      <w:lvlText w:val=""/>
      <w:lvlJc w:val="left"/>
      <w:pPr>
        <w:ind w:left="2160" w:hanging="360"/>
      </w:pPr>
      <w:rPr>
        <w:rFonts w:ascii="Symbol" w:hAnsi="Symbol" w:hint="default"/>
      </w:rPr>
    </w:lvl>
    <w:lvl w:ilvl="1" w:tplc="F3DE4C1E" w:tentative="1">
      <w:start w:val="1"/>
      <w:numFmt w:val="bullet"/>
      <w:lvlText w:val="o"/>
      <w:lvlJc w:val="left"/>
      <w:pPr>
        <w:ind w:left="2880" w:hanging="360"/>
      </w:pPr>
      <w:rPr>
        <w:rFonts w:ascii="Courier New" w:hAnsi="Courier New" w:cs="Courier New" w:hint="default"/>
      </w:rPr>
    </w:lvl>
    <w:lvl w:ilvl="2" w:tplc="9376AD02" w:tentative="1">
      <w:start w:val="1"/>
      <w:numFmt w:val="bullet"/>
      <w:lvlText w:val=""/>
      <w:lvlJc w:val="left"/>
      <w:pPr>
        <w:ind w:left="3600" w:hanging="360"/>
      </w:pPr>
      <w:rPr>
        <w:rFonts w:ascii="Wingdings" w:hAnsi="Wingdings" w:hint="default"/>
      </w:rPr>
    </w:lvl>
    <w:lvl w:ilvl="3" w:tplc="B31A90C2" w:tentative="1">
      <w:start w:val="1"/>
      <w:numFmt w:val="bullet"/>
      <w:lvlText w:val=""/>
      <w:lvlJc w:val="left"/>
      <w:pPr>
        <w:ind w:left="4320" w:hanging="360"/>
      </w:pPr>
      <w:rPr>
        <w:rFonts w:ascii="Symbol" w:hAnsi="Symbol" w:hint="default"/>
      </w:rPr>
    </w:lvl>
    <w:lvl w:ilvl="4" w:tplc="0EB6B5D8" w:tentative="1">
      <w:start w:val="1"/>
      <w:numFmt w:val="bullet"/>
      <w:lvlText w:val="o"/>
      <w:lvlJc w:val="left"/>
      <w:pPr>
        <w:ind w:left="5040" w:hanging="360"/>
      </w:pPr>
      <w:rPr>
        <w:rFonts w:ascii="Courier New" w:hAnsi="Courier New" w:cs="Courier New" w:hint="default"/>
      </w:rPr>
    </w:lvl>
    <w:lvl w:ilvl="5" w:tplc="B83E9096" w:tentative="1">
      <w:start w:val="1"/>
      <w:numFmt w:val="bullet"/>
      <w:lvlText w:val=""/>
      <w:lvlJc w:val="left"/>
      <w:pPr>
        <w:ind w:left="5760" w:hanging="360"/>
      </w:pPr>
      <w:rPr>
        <w:rFonts w:ascii="Wingdings" w:hAnsi="Wingdings" w:hint="default"/>
      </w:rPr>
    </w:lvl>
    <w:lvl w:ilvl="6" w:tplc="4FD89FD6" w:tentative="1">
      <w:start w:val="1"/>
      <w:numFmt w:val="bullet"/>
      <w:lvlText w:val=""/>
      <w:lvlJc w:val="left"/>
      <w:pPr>
        <w:ind w:left="6480" w:hanging="360"/>
      </w:pPr>
      <w:rPr>
        <w:rFonts w:ascii="Symbol" w:hAnsi="Symbol" w:hint="default"/>
      </w:rPr>
    </w:lvl>
    <w:lvl w:ilvl="7" w:tplc="4E687BDC" w:tentative="1">
      <w:start w:val="1"/>
      <w:numFmt w:val="bullet"/>
      <w:lvlText w:val="o"/>
      <w:lvlJc w:val="left"/>
      <w:pPr>
        <w:ind w:left="7200" w:hanging="360"/>
      </w:pPr>
      <w:rPr>
        <w:rFonts w:ascii="Courier New" w:hAnsi="Courier New" w:cs="Courier New" w:hint="default"/>
      </w:rPr>
    </w:lvl>
    <w:lvl w:ilvl="8" w:tplc="114A8F00" w:tentative="1">
      <w:start w:val="1"/>
      <w:numFmt w:val="bullet"/>
      <w:lvlText w:val=""/>
      <w:lvlJc w:val="left"/>
      <w:pPr>
        <w:ind w:left="7920" w:hanging="360"/>
      </w:pPr>
      <w:rPr>
        <w:rFonts w:ascii="Wingdings" w:hAnsi="Wingdings" w:hint="default"/>
      </w:rPr>
    </w:lvl>
  </w:abstractNum>
  <w:abstractNum w:abstractNumId="18" w15:restartNumberingAfterBreak="0">
    <w:nsid w:val="6DB7496A"/>
    <w:multiLevelType w:val="hybridMultilevel"/>
    <w:tmpl w:val="1D1AE7A6"/>
    <w:lvl w:ilvl="0" w:tplc="884650FE">
      <w:start w:val="1"/>
      <w:numFmt w:val="lowerLetter"/>
      <w:pStyle w:val="Bonbright2"/>
      <w:lvlText w:val="%1)"/>
      <w:lvlJc w:val="left"/>
      <w:pPr>
        <w:ind w:left="720" w:hanging="360"/>
      </w:pPr>
    </w:lvl>
    <w:lvl w:ilvl="1" w:tplc="A9D4ACCC" w:tentative="1">
      <w:start w:val="1"/>
      <w:numFmt w:val="lowerLetter"/>
      <w:lvlText w:val="%2."/>
      <w:lvlJc w:val="left"/>
      <w:pPr>
        <w:ind w:left="1440" w:hanging="360"/>
      </w:pPr>
    </w:lvl>
    <w:lvl w:ilvl="2" w:tplc="78722068" w:tentative="1">
      <w:start w:val="1"/>
      <w:numFmt w:val="lowerRoman"/>
      <w:lvlText w:val="%3."/>
      <w:lvlJc w:val="right"/>
      <w:pPr>
        <w:ind w:left="2160" w:hanging="180"/>
      </w:pPr>
    </w:lvl>
    <w:lvl w:ilvl="3" w:tplc="AE1C0EB4" w:tentative="1">
      <w:start w:val="1"/>
      <w:numFmt w:val="decimal"/>
      <w:lvlText w:val="%4."/>
      <w:lvlJc w:val="left"/>
      <w:pPr>
        <w:ind w:left="2880" w:hanging="360"/>
      </w:pPr>
    </w:lvl>
    <w:lvl w:ilvl="4" w:tplc="548E4C84" w:tentative="1">
      <w:start w:val="1"/>
      <w:numFmt w:val="lowerLetter"/>
      <w:lvlText w:val="%5."/>
      <w:lvlJc w:val="left"/>
      <w:pPr>
        <w:ind w:left="3600" w:hanging="360"/>
      </w:pPr>
    </w:lvl>
    <w:lvl w:ilvl="5" w:tplc="B3CA04F6" w:tentative="1">
      <w:start w:val="1"/>
      <w:numFmt w:val="lowerRoman"/>
      <w:lvlText w:val="%6."/>
      <w:lvlJc w:val="right"/>
      <w:pPr>
        <w:ind w:left="4320" w:hanging="180"/>
      </w:pPr>
    </w:lvl>
    <w:lvl w:ilvl="6" w:tplc="90FCC0A0" w:tentative="1">
      <w:start w:val="1"/>
      <w:numFmt w:val="decimal"/>
      <w:lvlText w:val="%7."/>
      <w:lvlJc w:val="left"/>
      <w:pPr>
        <w:ind w:left="5040" w:hanging="360"/>
      </w:pPr>
    </w:lvl>
    <w:lvl w:ilvl="7" w:tplc="53E28A14" w:tentative="1">
      <w:start w:val="1"/>
      <w:numFmt w:val="lowerLetter"/>
      <w:lvlText w:val="%8."/>
      <w:lvlJc w:val="left"/>
      <w:pPr>
        <w:ind w:left="5760" w:hanging="360"/>
      </w:pPr>
    </w:lvl>
    <w:lvl w:ilvl="8" w:tplc="A7526788" w:tentative="1">
      <w:start w:val="1"/>
      <w:numFmt w:val="lowerRoman"/>
      <w:lvlText w:val="%9."/>
      <w:lvlJc w:val="right"/>
      <w:pPr>
        <w:ind w:left="6480" w:hanging="180"/>
      </w:pPr>
    </w:lvl>
  </w:abstractNum>
  <w:abstractNum w:abstractNumId="19" w15:restartNumberingAfterBreak="0">
    <w:nsid w:val="72171FE3"/>
    <w:multiLevelType w:val="hybridMultilevel"/>
    <w:tmpl w:val="2382A1B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5"/>
  </w:num>
  <w:num w:numId="2">
    <w:abstractNumId w:val="12"/>
  </w:num>
  <w:num w:numId="3">
    <w:abstractNumId w:val="9"/>
  </w:num>
  <w:num w:numId="4">
    <w:abstractNumId w:val="7"/>
  </w:num>
  <w:num w:numId="5">
    <w:abstractNumId w:val="6"/>
  </w:num>
  <w:num w:numId="6">
    <w:abstractNumId w:val="5"/>
  </w:num>
  <w:num w:numId="7">
    <w:abstractNumId w:val="4"/>
  </w:num>
  <w:num w:numId="8">
    <w:abstractNumId w:val="16"/>
  </w:num>
  <w:num w:numId="9">
    <w:abstractNumId w:val="1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0">
    <w:abstractNumId w:val="17"/>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8"/>
  </w:num>
  <w:num w:numId="18">
    <w:abstractNumId w:val="11"/>
  </w:num>
  <w:num w:numId="19">
    <w:abstractNumId w:val="13"/>
  </w:num>
  <w:num w:numId="20">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rawingGridHorizontalSpacing w:val="110"/>
  <w:drawingGridVerticalSpacing w:val="71"/>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2C2"/>
    <w:rsid w:val="00001101"/>
    <w:rsid w:val="000014D9"/>
    <w:rsid w:val="00001D46"/>
    <w:rsid w:val="00001FEF"/>
    <w:rsid w:val="000021E5"/>
    <w:rsid w:val="00002806"/>
    <w:rsid w:val="000032FC"/>
    <w:rsid w:val="0000471D"/>
    <w:rsid w:val="0000487C"/>
    <w:rsid w:val="0000574A"/>
    <w:rsid w:val="00005B25"/>
    <w:rsid w:val="00005EF5"/>
    <w:rsid w:val="0000672A"/>
    <w:rsid w:val="00006DB6"/>
    <w:rsid w:val="00007B45"/>
    <w:rsid w:val="00011C6F"/>
    <w:rsid w:val="000149C3"/>
    <w:rsid w:val="00015BD0"/>
    <w:rsid w:val="00017D4C"/>
    <w:rsid w:val="0002018E"/>
    <w:rsid w:val="00021710"/>
    <w:rsid w:val="00021DC4"/>
    <w:rsid w:val="00022328"/>
    <w:rsid w:val="00022D1E"/>
    <w:rsid w:val="000235FD"/>
    <w:rsid w:val="00024004"/>
    <w:rsid w:val="00024EA1"/>
    <w:rsid w:val="00025E85"/>
    <w:rsid w:val="000262E0"/>
    <w:rsid w:val="0003063C"/>
    <w:rsid w:val="00032294"/>
    <w:rsid w:val="000322AF"/>
    <w:rsid w:val="000327BC"/>
    <w:rsid w:val="00033614"/>
    <w:rsid w:val="000336B0"/>
    <w:rsid w:val="00034C58"/>
    <w:rsid w:val="00035576"/>
    <w:rsid w:val="0003577D"/>
    <w:rsid w:val="00035E3B"/>
    <w:rsid w:val="00037C36"/>
    <w:rsid w:val="0004028F"/>
    <w:rsid w:val="000410E2"/>
    <w:rsid w:val="0004195E"/>
    <w:rsid w:val="000422E8"/>
    <w:rsid w:val="0004243D"/>
    <w:rsid w:val="00043720"/>
    <w:rsid w:val="00043C7E"/>
    <w:rsid w:val="00043ED6"/>
    <w:rsid w:val="000447CE"/>
    <w:rsid w:val="00045658"/>
    <w:rsid w:val="00046231"/>
    <w:rsid w:val="000463B3"/>
    <w:rsid w:val="00046CE1"/>
    <w:rsid w:val="000507D4"/>
    <w:rsid w:val="00050C77"/>
    <w:rsid w:val="00050C7C"/>
    <w:rsid w:val="00050D15"/>
    <w:rsid w:val="00051AC6"/>
    <w:rsid w:val="00051C82"/>
    <w:rsid w:val="00052400"/>
    <w:rsid w:val="00053BEC"/>
    <w:rsid w:val="00053E50"/>
    <w:rsid w:val="00054145"/>
    <w:rsid w:val="00054514"/>
    <w:rsid w:val="000551C8"/>
    <w:rsid w:val="0005559E"/>
    <w:rsid w:val="00055B8A"/>
    <w:rsid w:val="0005603A"/>
    <w:rsid w:val="000560AC"/>
    <w:rsid w:val="00056E32"/>
    <w:rsid w:val="00057EF4"/>
    <w:rsid w:val="0006145A"/>
    <w:rsid w:val="00063079"/>
    <w:rsid w:val="0006435B"/>
    <w:rsid w:val="0006437D"/>
    <w:rsid w:val="000645CA"/>
    <w:rsid w:val="00065023"/>
    <w:rsid w:val="00066136"/>
    <w:rsid w:val="00066AC0"/>
    <w:rsid w:val="00067B4F"/>
    <w:rsid w:val="00070C4C"/>
    <w:rsid w:val="00070D52"/>
    <w:rsid w:val="0007185C"/>
    <w:rsid w:val="00072013"/>
    <w:rsid w:val="00072C7D"/>
    <w:rsid w:val="0007316C"/>
    <w:rsid w:val="0007424E"/>
    <w:rsid w:val="00076B28"/>
    <w:rsid w:val="000806AA"/>
    <w:rsid w:val="00080A0D"/>
    <w:rsid w:val="00080DD0"/>
    <w:rsid w:val="00081D52"/>
    <w:rsid w:val="0008268D"/>
    <w:rsid w:val="000830D1"/>
    <w:rsid w:val="00083834"/>
    <w:rsid w:val="00084189"/>
    <w:rsid w:val="000848DD"/>
    <w:rsid w:val="00085C6C"/>
    <w:rsid w:val="00085DE5"/>
    <w:rsid w:val="000867C6"/>
    <w:rsid w:val="00086AEC"/>
    <w:rsid w:val="00086D80"/>
    <w:rsid w:val="00087C33"/>
    <w:rsid w:val="000910CA"/>
    <w:rsid w:val="000912AC"/>
    <w:rsid w:val="000912F1"/>
    <w:rsid w:val="00093786"/>
    <w:rsid w:val="0009507D"/>
    <w:rsid w:val="00095202"/>
    <w:rsid w:val="00095927"/>
    <w:rsid w:val="000969A7"/>
    <w:rsid w:val="000A0BD9"/>
    <w:rsid w:val="000A120D"/>
    <w:rsid w:val="000A54DB"/>
    <w:rsid w:val="000A5F8F"/>
    <w:rsid w:val="000A6112"/>
    <w:rsid w:val="000A641E"/>
    <w:rsid w:val="000A6A45"/>
    <w:rsid w:val="000A71A9"/>
    <w:rsid w:val="000A7BDC"/>
    <w:rsid w:val="000A7C9E"/>
    <w:rsid w:val="000B0A1F"/>
    <w:rsid w:val="000B2130"/>
    <w:rsid w:val="000B2214"/>
    <w:rsid w:val="000B2AB7"/>
    <w:rsid w:val="000B2F18"/>
    <w:rsid w:val="000B31B8"/>
    <w:rsid w:val="000B3AC9"/>
    <w:rsid w:val="000B3DD5"/>
    <w:rsid w:val="000B4BBC"/>
    <w:rsid w:val="000B519A"/>
    <w:rsid w:val="000B5463"/>
    <w:rsid w:val="000B596C"/>
    <w:rsid w:val="000B61ED"/>
    <w:rsid w:val="000B75EF"/>
    <w:rsid w:val="000B7640"/>
    <w:rsid w:val="000C0E3F"/>
    <w:rsid w:val="000C12DE"/>
    <w:rsid w:val="000C19A6"/>
    <w:rsid w:val="000C2135"/>
    <w:rsid w:val="000C264C"/>
    <w:rsid w:val="000C28A2"/>
    <w:rsid w:val="000C2C4F"/>
    <w:rsid w:val="000C326B"/>
    <w:rsid w:val="000C33C8"/>
    <w:rsid w:val="000C4ED3"/>
    <w:rsid w:val="000C5264"/>
    <w:rsid w:val="000C5E44"/>
    <w:rsid w:val="000C5ECB"/>
    <w:rsid w:val="000C69B9"/>
    <w:rsid w:val="000D0472"/>
    <w:rsid w:val="000D0589"/>
    <w:rsid w:val="000D1EE8"/>
    <w:rsid w:val="000D215A"/>
    <w:rsid w:val="000D2DEC"/>
    <w:rsid w:val="000D4342"/>
    <w:rsid w:val="000D4AFB"/>
    <w:rsid w:val="000D4D6E"/>
    <w:rsid w:val="000D4E59"/>
    <w:rsid w:val="000D7505"/>
    <w:rsid w:val="000E0399"/>
    <w:rsid w:val="000E045A"/>
    <w:rsid w:val="000E0E95"/>
    <w:rsid w:val="000E16A7"/>
    <w:rsid w:val="000E1CA3"/>
    <w:rsid w:val="000E2C79"/>
    <w:rsid w:val="000E2CDE"/>
    <w:rsid w:val="000E3C09"/>
    <w:rsid w:val="000E43A2"/>
    <w:rsid w:val="000E4A17"/>
    <w:rsid w:val="000E4DC6"/>
    <w:rsid w:val="000E556A"/>
    <w:rsid w:val="000E55EE"/>
    <w:rsid w:val="000E6C53"/>
    <w:rsid w:val="000E7869"/>
    <w:rsid w:val="000E7C40"/>
    <w:rsid w:val="000F1176"/>
    <w:rsid w:val="000F15A8"/>
    <w:rsid w:val="000F2A10"/>
    <w:rsid w:val="000F3094"/>
    <w:rsid w:val="000F33B9"/>
    <w:rsid w:val="000F34EB"/>
    <w:rsid w:val="000F3932"/>
    <w:rsid w:val="000F3A38"/>
    <w:rsid w:val="000F4787"/>
    <w:rsid w:val="000F4D46"/>
    <w:rsid w:val="000F4E25"/>
    <w:rsid w:val="000F5557"/>
    <w:rsid w:val="000F57E6"/>
    <w:rsid w:val="000F5E45"/>
    <w:rsid w:val="000F6285"/>
    <w:rsid w:val="000F647A"/>
    <w:rsid w:val="000F6F5B"/>
    <w:rsid w:val="000F73DA"/>
    <w:rsid w:val="000F7E19"/>
    <w:rsid w:val="000F7F46"/>
    <w:rsid w:val="000F7F87"/>
    <w:rsid w:val="00100042"/>
    <w:rsid w:val="00100FBA"/>
    <w:rsid w:val="001016D8"/>
    <w:rsid w:val="0010173C"/>
    <w:rsid w:val="001021AF"/>
    <w:rsid w:val="00102916"/>
    <w:rsid w:val="001029C2"/>
    <w:rsid w:val="00102AC6"/>
    <w:rsid w:val="00102C54"/>
    <w:rsid w:val="00104051"/>
    <w:rsid w:val="001045DD"/>
    <w:rsid w:val="00104602"/>
    <w:rsid w:val="001049D2"/>
    <w:rsid w:val="001055F0"/>
    <w:rsid w:val="00105EB0"/>
    <w:rsid w:val="00106FC2"/>
    <w:rsid w:val="0010725E"/>
    <w:rsid w:val="0010783E"/>
    <w:rsid w:val="0010790C"/>
    <w:rsid w:val="00110D71"/>
    <w:rsid w:val="00111106"/>
    <w:rsid w:val="00111246"/>
    <w:rsid w:val="0011194C"/>
    <w:rsid w:val="00112025"/>
    <w:rsid w:val="001125EB"/>
    <w:rsid w:val="001131E9"/>
    <w:rsid w:val="0011348E"/>
    <w:rsid w:val="0011375A"/>
    <w:rsid w:val="001146CB"/>
    <w:rsid w:val="001149FD"/>
    <w:rsid w:val="0011530D"/>
    <w:rsid w:val="001200AA"/>
    <w:rsid w:val="00120D7B"/>
    <w:rsid w:val="00121125"/>
    <w:rsid w:val="001232B1"/>
    <w:rsid w:val="00123386"/>
    <w:rsid w:val="00124453"/>
    <w:rsid w:val="001248A8"/>
    <w:rsid w:val="00125C1A"/>
    <w:rsid w:val="00126F3B"/>
    <w:rsid w:val="00127981"/>
    <w:rsid w:val="00127C09"/>
    <w:rsid w:val="00130DC2"/>
    <w:rsid w:val="00131F94"/>
    <w:rsid w:val="00132525"/>
    <w:rsid w:val="00134194"/>
    <w:rsid w:val="0013587C"/>
    <w:rsid w:val="00136083"/>
    <w:rsid w:val="00136233"/>
    <w:rsid w:val="00136A0D"/>
    <w:rsid w:val="00136B02"/>
    <w:rsid w:val="00137BED"/>
    <w:rsid w:val="00140BBF"/>
    <w:rsid w:val="00140E0D"/>
    <w:rsid w:val="00141459"/>
    <w:rsid w:val="0014150A"/>
    <w:rsid w:val="00141DEA"/>
    <w:rsid w:val="00142E21"/>
    <w:rsid w:val="00142F52"/>
    <w:rsid w:val="00144347"/>
    <w:rsid w:val="00145FB0"/>
    <w:rsid w:val="00145FDB"/>
    <w:rsid w:val="00146A5E"/>
    <w:rsid w:val="001478B3"/>
    <w:rsid w:val="00147B51"/>
    <w:rsid w:val="00147E57"/>
    <w:rsid w:val="00150F6C"/>
    <w:rsid w:val="00151750"/>
    <w:rsid w:val="00151D64"/>
    <w:rsid w:val="00152231"/>
    <w:rsid w:val="001531C1"/>
    <w:rsid w:val="00153BD8"/>
    <w:rsid w:val="00153C46"/>
    <w:rsid w:val="00154C71"/>
    <w:rsid w:val="00154D21"/>
    <w:rsid w:val="00154EE9"/>
    <w:rsid w:val="00156480"/>
    <w:rsid w:val="00156AFA"/>
    <w:rsid w:val="00157D6A"/>
    <w:rsid w:val="00160234"/>
    <w:rsid w:val="00160E07"/>
    <w:rsid w:val="0016196C"/>
    <w:rsid w:val="00161C24"/>
    <w:rsid w:val="00161DB6"/>
    <w:rsid w:val="001622A0"/>
    <w:rsid w:val="001634B3"/>
    <w:rsid w:val="001642BC"/>
    <w:rsid w:val="0016479F"/>
    <w:rsid w:val="00164AF1"/>
    <w:rsid w:val="00165D37"/>
    <w:rsid w:val="0016715B"/>
    <w:rsid w:val="00167416"/>
    <w:rsid w:val="00167E25"/>
    <w:rsid w:val="00170029"/>
    <w:rsid w:val="00171BF0"/>
    <w:rsid w:val="00172216"/>
    <w:rsid w:val="00172254"/>
    <w:rsid w:val="0017335C"/>
    <w:rsid w:val="0017338F"/>
    <w:rsid w:val="0017393B"/>
    <w:rsid w:val="001739B3"/>
    <w:rsid w:val="00173F5A"/>
    <w:rsid w:val="00176FD6"/>
    <w:rsid w:val="001774BC"/>
    <w:rsid w:val="00181400"/>
    <w:rsid w:val="0018156A"/>
    <w:rsid w:val="00182BCE"/>
    <w:rsid w:val="00182E86"/>
    <w:rsid w:val="00183F54"/>
    <w:rsid w:val="001873A4"/>
    <w:rsid w:val="00187A4F"/>
    <w:rsid w:val="0019031B"/>
    <w:rsid w:val="001903FF"/>
    <w:rsid w:val="001915EB"/>
    <w:rsid w:val="001927FE"/>
    <w:rsid w:val="00193A30"/>
    <w:rsid w:val="00194843"/>
    <w:rsid w:val="00195230"/>
    <w:rsid w:val="00196B30"/>
    <w:rsid w:val="001979E6"/>
    <w:rsid w:val="001A04C2"/>
    <w:rsid w:val="001A1241"/>
    <w:rsid w:val="001A154D"/>
    <w:rsid w:val="001A1798"/>
    <w:rsid w:val="001A1EF5"/>
    <w:rsid w:val="001A245D"/>
    <w:rsid w:val="001A24AD"/>
    <w:rsid w:val="001A36EA"/>
    <w:rsid w:val="001A3933"/>
    <w:rsid w:val="001A3F3A"/>
    <w:rsid w:val="001A5870"/>
    <w:rsid w:val="001A59E1"/>
    <w:rsid w:val="001A5E89"/>
    <w:rsid w:val="001A60F4"/>
    <w:rsid w:val="001A68EE"/>
    <w:rsid w:val="001A6AA7"/>
    <w:rsid w:val="001A70E9"/>
    <w:rsid w:val="001A725C"/>
    <w:rsid w:val="001A7900"/>
    <w:rsid w:val="001B0D5B"/>
    <w:rsid w:val="001B1614"/>
    <w:rsid w:val="001B1C4E"/>
    <w:rsid w:val="001B2459"/>
    <w:rsid w:val="001B2463"/>
    <w:rsid w:val="001B2A08"/>
    <w:rsid w:val="001B3077"/>
    <w:rsid w:val="001B3101"/>
    <w:rsid w:val="001B3B41"/>
    <w:rsid w:val="001B5435"/>
    <w:rsid w:val="001B59B6"/>
    <w:rsid w:val="001B6539"/>
    <w:rsid w:val="001B6A7D"/>
    <w:rsid w:val="001C081B"/>
    <w:rsid w:val="001C15A3"/>
    <w:rsid w:val="001C170A"/>
    <w:rsid w:val="001C3292"/>
    <w:rsid w:val="001C332A"/>
    <w:rsid w:val="001C4096"/>
    <w:rsid w:val="001C440A"/>
    <w:rsid w:val="001C4E85"/>
    <w:rsid w:val="001C51BE"/>
    <w:rsid w:val="001C53DF"/>
    <w:rsid w:val="001C55CD"/>
    <w:rsid w:val="001C5E69"/>
    <w:rsid w:val="001C5EB5"/>
    <w:rsid w:val="001C62E8"/>
    <w:rsid w:val="001C664B"/>
    <w:rsid w:val="001C6826"/>
    <w:rsid w:val="001C6FA2"/>
    <w:rsid w:val="001C7189"/>
    <w:rsid w:val="001C7D08"/>
    <w:rsid w:val="001C7EF4"/>
    <w:rsid w:val="001D09CD"/>
    <w:rsid w:val="001D1128"/>
    <w:rsid w:val="001D1D4A"/>
    <w:rsid w:val="001D3638"/>
    <w:rsid w:val="001D3AF8"/>
    <w:rsid w:val="001D419D"/>
    <w:rsid w:val="001D51A3"/>
    <w:rsid w:val="001D535F"/>
    <w:rsid w:val="001D6051"/>
    <w:rsid w:val="001D60F0"/>
    <w:rsid w:val="001D6627"/>
    <w:rsid w:val="001D7A51"/>
    <w:rsid w:val="001D7D7E"/>
    <w:rsid w:val="001E0B70"/>
    <w:rsid w:val="001E1525"/>
    <w:rsid w:val="001E1538"/>
    <w:rsid w:val="001E21B5"/>
    <w:rsid w:val="001E273F"/>
    <w:rsid w:val="001E40C7"/>
    <w:rsid w:val="001E4745"/>
    <w:rsid w:val="001E47DE"/>
    <w:rsid w:val="001E6106"/>
    <w:rsid w:val="001E6124"/>
    <w:rsid w:val="001F02CD"/>
    <w:rsid w:val="001F0DCA"/>
    <w:rsid w:val="001F0EAA"/>
    <w:rsid w:val="001F147D"/>
    <w:rsid w:val="001F1FC4"/>
    <w:rsid w:val="001F290A"/>
    <w:rsid w:val="001F2995"/>
    <w:rsid w:val="001F2D46"/>
    <w:rsid w:val="001F3A57"/>
    <w:rsid w:val="001F4205"/>
    <w:rsid w:val="001F47BB"/>
    <w:rsid w:val="001F49D7"/>
    <w:rsid w:val="001F4C3C"/>
    <w:rsid w:val="001F4DAD"/>
    <w:rsid w:val="001F5491"/>
    <w:rsid w:val="001F5C4D"/>
    <w:rsid w:val="001F68BC"/>
    <w:rsid w:val="001F7B2D"/>
    <w:rsid w:val="00200B08"/>
    <w:rsid w:val="00201CFB"/>
    <w:rsid w:val="00202D9F"/>
    <w:rsid w:val="00203D13"/>
    <w:rsid w:val="00204095"/>
    <w:rsid w:val="00204502"/>
    <w:rsid w:val="00204808"/>
    <w:rsid w:val="00205A0B"/>
    <w:rsid w:val="002074D2"/>
    <w:rsid w:val="00210060"/>
    <w:rsid w:val="0021049C"/>
    <w:rsid w:val="00211803"/>
    <w:rsid w:val="0021189B"/>
    <w:rsid w:val="00211BC8"/>
    <w:rsid w:val="002125F2"/>
    <w:rsid w:val="00213502"/>
    <w:rsid w:val="00214155"/>
    <w:rsid w:val="0021533A"/>
    <w:rsid w:val="00215621"/>
    <w:rsid w:val="002159EE"/>
    <w:rsid w:val="0021647E"/>
    <w:rsid w:val="00216D6A"/>
    <w:rsid w:val="00217C9B"/>
    <w:rsid w:val="00220246"/>
    <w:rsid w:val="0022031A"/>
    <w:rsid w:val="0022198C"/>
    <w:rsid w:val="00221B72"/>
    <w:rsid w:val="00222D39"/>
    <w:rsid w:val="00222F69"/>
    <w:rsid w:val="00223718"/>
    <w:rsid w:val="00224E12"/>
    <w:rsid w:val="00224ECB"/>
    <w:rsid w:val="0022512C"/>
    <w:rsid w:val="00225661"/>
    <w:rsid w:val="002278DA"/>
    <w:rsid w:val="0023372C"/>
    <w:rsid w:val="002340E1"/>
    <w:rsid w:val="00234A30"/>
    <w:rsid w:val="0023500B"/>
    <w:rsid w:val="00235D8C"/>
    <w:rsid w:val="00236C39"/>
    <w:rsid w:val="00237A41"/>
    <w:rsid w:val="00240D6F"/>
    <w:rsid w:val="00241563"/>
    <w:rsid w:val="00241AF2"/>
    <w:rsid w:val="00242EBB"/>
    <w:rsid w:val="00242F4B"/>
    <w:rsid w:val="00244496"/>
    <w:rsid w:val="00245214"/>
    <w:rsid w:val="00247547"/>
    <w:rsid w:val="002506F7"/>
    <w:rsid w:val="002515CE"/>
    <w:rsid w:val="00251E3D"/>
    <w:rsid w:val="002529CA"/>
    <w:rsid w:val="00252A11"/>
    <w:rsid w:val="00252A55"/>
    <w:rsid w:val="002531D1"/>
    <w:rsid w:val="0025448A"/>
    <w:rsid w:val="00254B00"/>
    <w:rsid w:val="002552A3"/>
    <w:rsid w:val="00256606"/>
    <w:rsid w:val="00256638"/>
    <w:rsid w:val="00257212"/>
    <w:rsid w:val="002601DF"/>
    <w:rsid w:val="002606DF"/>
    <w:rsid w:val="0026075B"/>
    <w:rsid w:val="00260B4B"/>
    <w:rsid w:val="002648D0"/>
    <w:rsid w:val="00264D36"/>
    <w:rsid w:val="0026545D"/>
    <w:rsid w:val="00265780"/>
    <w:rsid w:val="002666BC"/>
    <w:rsid w:val="00266C2C"/>
    <w:rsid w:val="00270A68"/>
    <w:rsid w:val="00270DF6"/>
    <w:rsid w:val="00271357"/>
    <w:rsid w:val="00272549"/>
    <w:rsid w:val="0027384C"/>
    <w:rsid w:val="00274663"/>
    <w:rsid w:val="00274C08"/>
    <w:rsid w:val="00274E01"/>
    <w:rsid w:val="00274F73"/>
    <w:rsid w:val="00276044"/>
    <w:rsid w:val="002761A0"/>
    <w:rsid w:val="00277CE8"/>
    <w:rsid w:val="00280598"/>
    <w:rsid w:val="00281992"/>
    <w:rsid w:val="00282A52"/>
    <w:rsid w:val="0028311F"/>
    <w:rsid w:val="002835DC"/>
    <w:rsid w:val="0028362B"/>
    <w:rsid w:val="0028430C"/>
    <w:rsid w:val="0028503E"/>
    <w:rsid w:val="002854FF"/>
    <w:rsid w:val="002868C0"/>
    <w:rsid w:val="00286938"/>
    <w:rsid w:val="002879C1"/>
    <w:rsid w:val="00287E7B"/>
    <w:rsid w:val="00291892"/>
    <w:rsid w:val="00291CE2"/>
    <w:rsid w:val="002927A0"/>
    <w:rsid w:val="00292F47"/>
    <w:rsid w:val="00292F70"/>
    <w:rsid w:val="0029366D"/>
    <w:rsid w:val="002939EC"/>
    <w:rsid w:val="00293B61"/>
    <w:rsid w:val="00293D8D"/>
    <w:rsid w:val="0029459A"/>
    <w:rsid w:val="002948F2"/>
    <w:rsid w:val="00294F29"/>
    <w:rsid w:val="00294F55"/>
    <w:rsid w:val="0029534E"/>
    <w:rsid w:val="0029676F"/>
    <w:rsid w:val="00296D1C"/>
    <w:rsid w:val="002A3CC6"/>
    <w:rsid w:val="002A4A40"/>
    <w:rsid w:val="002A4D07"/>
    <w:rsid w:val="002A5004"/>
    <w:rsid w:val="002A5E99"/>
    <w:rsid w:val="002A6423"/>
    <w:rsid w:val="002A67D1"/>
    <w:rsid w:val="002A721F"/>
    <w:rsid w:val="002A7462"/>
    <w:rsid w:val="002B00DA"/>
    <w:rsid w:val="002B015F"/>
    <w:rsid w:val="002B0DF5"/>
    <w:rsid w:val="002B0E85"/>
    <w:rsid w:val="002B1A2A"/>
    <w:rsid w:val="002B24D6"/>
    <w:rsid w:val="002B2976"/>
    <w:rsid w:val="002B46E5"/>
    <w:rsid w:val="002B4793"/>
    <w:rsid w:val="002B4F9A"/>
    <w:rsid w:val="002B506E"/>
    <w:rsid w:val="002B7CE2"/>
    <w:rsid w:val="002C207B"/>
    <w:rsid w:val="002C28FD"/>
    <w:rsid w:val="002C3852"/>
    <w:rsid w:val="002C4997"/>
    <w:rsid w:val="002C4A0F"/>
    <w:rsid w:val="002C4D03"/>
    <w:rsid w:val="002C534A"/>
    <w:rsid w:val="002C5E6C"/>
    <w:rsid w:val="002C5F48"/>
    <w:rsid w:val="002C6BBD"/>
    <w:rsid w:val="002D0954"/>
    <w:rsid w:val="002D164B"/>
    <w:rsid w:val="002D1B56"/>
    <w:rsid w:val="002D1F21"/>
    <w:rsid w:val="002D32F5"/>
    <w:rsid w:val="002D4436"/>
    <w:rsid w:val="002D4874"/>
    <w:rsid w:val="002D5042"/>
    <w:rsid w:val="002D53EE"/>
    <w:rsid w:val="002D5E8A"/>
    <w:rsid w:val="002D61D8"/>
    <w:rsid w:val="002D6ABA"/>
    <w:rsid w:val="002D6D39"/>
    <w:rsid w:val="002D6DBE"/>
    <w:rsid w:val="002D70C8"/>
    <w:rsid w:val="002D720A"/>
    <w:rsid w:val="002D7417"/>
    <w:rsid w:val="002E1C18"/>
    <w:rsid w:val="002E229D"/>
    <w:rsid w:val="002E2B42"/>
    <w:rsid w:val="002E38A9"/>
    <w:rsid w:val="002E484B"/>
    <w:rsid w:val="002E50CB"/>
    <w:rsid w:val="002E642E"/>
    <w:rsid w:val="002E6C75"/>
    <w:rsid w:val="002E6CB9"/>
    <w:rsid w:val="002E724A"/>
    <w:rsid w:val="002E747C"/>
    <w:rsid w:val="002E7CB3"/>
    <w:rsid w:val="002F004F"/>
    <w:rsid w:val="002F07F8"/>
    <w:rsid w:val="002F0D25"/>
    <w:rsid w:val="002F3936"/>
    <w:rsid w:val="002F39E4"/>
    <w:rsid w:val="002F3B51"/>
    <w:rsid w:val="002F5058"/>
    <w:rsid w:val="002F60B9"/>
    <w:rsid w:val="002F670E"/>
    <w:rsid w:val="002F77EC"/>
    <w:rsid w:val="002F7B99"/>
    <w:rsid w:val="002F7CEF"/>
    <w:rsid w:val="00300849"/>
    <w:rsid w:val="00300DDD"/>
    <w:rsid w:val="00301125"/>
    <w:rsid w:val="00301C3D"/>
    <w:rsid w:val="003024EA"/>
    <w:rsid w:val="003034AA"/>
    <w:rsid w:val="003035B7"/>
    <w:rsid w:val="0030419F"/>
    <w:rsid w:val="00304B7C"/>
    <w:rsid w:val="00305EBC"/>
    <w:rsid w:val="00306566"/>
    <w:rsid w:val="00306C24"/>
    <w:rsid w:val="00310689"/>
    <w:rsid w:val="00312799"/>
    <w:rsid w:val="00314806"/>
    <w:rsid w:val="00314BEF"/>
    <w:rsid w:val="00314FBC"/>
    <w:rsid w:val="0031582F"/>
    <w:rsid w:val="003173FE"/>
    <w:rsid w:val="00317AEE"/>
    <w:rsid w:val="00317F8C"/>
    <w:rsid w:val="00320111"/>
    <w:rsid w:val="0032088F"/>
    <w:rsid w:val="003210BA"/>
    <w:rsid w:val="003217DF"/>
    <w:rsid w:val="00322CA0"/>
    <w:rsid w:val="00322CE3"/>
    <w:rsid w:val="00323055"/>
    <w:rsid w:val="003240C7"/>
    <w:rsid w:val="0032465C"/>
    <w:rsid w:val="00324C16"/>
    <w:rsid w:val="003261B0"/>
    <w:rsid w:val="00327185"/>
    <w:rsid w:val="00330C41"/>
    <w:rsid w:val="00330F20"/>
    <w:rsid w:val="00330F69"/>
    <w:rsid w:val="00331A90"/>
    <w:rsid w:val="00331B9E"/>
    <w:rsid w:val="00333870"/>
    <w:rsid w:val="00333C88"/>
    <w:rsid w:val="00333D65"/>
    <w:rsid w:val="00333E9A"/>
    <w:rsid w:val="003344E5"/>
    <w:rsid w:val="0033468E"/>
    <w:rsid w:val="00334DBD"/>
    <w:rsid w:val="0033563C"/>
    <w:rsid w:val="003358F9"/>
    <w:rsid w:val="00335D42"/>
    <w:rsid w:val="00336055"/>
    <w:rsid w:val="00336B92"/>
    <w:rsid w:val="00336E8D"/>
    <w:rsid w:val="00337627"/>
    <w:rsid w:val="0033778D"/>
    <w:rsid w:val="003401AE"/>
    <w:rsid w:val="0034112D"/>
    <w:rsid w:val="00341505"/>
    <w:rsid w:val="0034246B"/>
    <w:rsid w:val="003429FF"/>
    <w:rsid w:val="003441A6"/>
    <w:rsid w:val="00344360"/>
    <w:rsid w:val="003467FF"/>
    <w:rsid w:val="00347464"/>
    <w:rsid w:val="003475E9"/>
    <w:rsid w:val="003476DB"/>
    <w:rsid w:val="00350698"/>
    <w:rsid w:val="00350A76"/>
    <w:rsid w:val="0035195E"/>
    <w:rsid w:val="00352807"/>
    <w:rsid w:val="003534B7"/>
    <w:rsid w:val="00354746"/>
    <w:rsid w:val="00354779"/>
    <w:rsid w:val="00354E9F"/>
    <w:rsid w:val="003557D7"/>
    <w:rsid w:val="00356215"/>
    <w:rsid w:val="003562AF"/>
    <w:rsid w:val="00356A82"/>
    <w:rsid w:val="00356D3F"/>
    <w:rsid w:val="003571D9"/>
    <w:rsid w:val="003578AB"/>
    <w:rsid w:val="003607B9"/>
    <w:rsid w:val="00361540"/>
    <w:rsid w:val="0036211D"/>
    <w:rsid w:val="0036391D"/>
    <w:rsid w:val="00364001"/>
    <w:rsid w:val="003642B7"/>
    <w:rsid w:val="003648FE"/>
    <w:rsid w:val="00364B2B"/>
    <w:rsid w:val="00364C16"/>
    <w:rsid w:val="00364D88"/>
    <w:rsid w:val="003656B4"/>
    <w:rsid w:val="00365918"/>
    <w:rsid w:val="0036724C"/>
    <w:rsid w:val="00367479"/>
    <w:rsid w:val="003675ED"/>
    <w:rsid w:val="00367914"/>
    <w:rsid w:val="00370B21"/>
    <w:rsid w:val="0037259C"/>
    <w:rsid w:val="00373AD6"/>
    <w:rsid w:val="00375592"/>
    <w:rsid w:val="00376014"/>
    <w:rsid w:val="00376475"/>
    <w:rsid w:val="00376669"/>
    <w:rsid w:val="003767B9"/>
    <w:rsid w:val="00376EE7"/>
    <w:rsid w:val="003776DE"/>
    <w:rsid w:val="00377FF6"/>
    <w:rsid w:val="0038024E"/>
    <w:rsid w:val="00382100"/>
    <w:rsid w:val="003822D4"/>
    <w:rsid w:val="00382618"/>
    <w:rsid w:val="003830EF"/>
    <w:rsid w:val="0038465C"/>
    <w:rsid w:val="00384B94"/>
    <w:rsid w:val="00384C74"/>
    <w:rsid w:val="00384F0B"/>
    <w:rsid w:val="0038531C"/>
    <w:rsid w:val="00386DB3"/>
    <w:rsid w:val="00386EB2"/>
    <w:rsid w:val="0038769D"/>
    <w:rsid w:val="00387903"/>
    <w:rsid w:val="003927C4"/>
    <w:rsid w:val="00392CF5"/>
    <w:rsid w:val="0039371B"/>
    <w:rsid w:val="00393AFB"/>
    <w:rsid w:val="00393B08"/>
    <w:rsid w:val="00394A92"/>
    <w:rsid w:val="00394F29"/>
    <w:rsid w:val="00394FD3"/>
    <w:rsid w:val="00395A51"/>
    <w:rsid w:val="003A1C2A"/>
    <w:rsid w:val="003A2255"/>
    <w:rsid w:val="003A46EA"/>
    <w:rsid w:val="003A4864"/>
    <w:rsid w:val="003A53D1"/>
    <w:rsid w:val="003A5FB0"/>
    <w:rsid w:val="003A6DAD"/>
    <w:rsid w:val="003A79D9"/>
    <w:rsid w:val="003A7A20"/>
    <w:rsid w:val="003A7B31"/>
    <w:rsid w:val="003B0599"/>
    <w:rsid w:val="003B0DD5"/>
    <w:rsid w:val="003B1079"/>
    <w:rsid w:val="003B314F"/>
    <w:rsid w:val="003B3F8D"/>
    <w:rsid w:val="003B5030"/>
    <w:rsid w:val="003B5756"/>
    <w:rsid w:val="003B5F83"/>
    <w:rsid w:val="003B6861"/>
    <w:rsid w:val="003B7077"/>
    <w:rsid w:val="003B73B1"/>
    <w:rsid w:val="003B7993"/>
    <w:rsid w:val="003C1455"/>
    <w:rsid w:val="003C205A"/>
    <w:rsid w:val="003C2BB6"/>
    <w:rsid w:val="003C4398"/>
    <w:rsid w:val="003C4B79"/>
    <w:rsid w:val="003C4D5A"/>
    <w:rsid w:val="003C5007"/>
    <w:rsid w:val="003C5E6F"/>
    <w:rsid w:val="003C6155"/>
    <w:rsid w:val="003C63CA"/>
    <w:rsid w:val="003C6D0D"/>
    <w:rsid w:val="003C77CD"/>
    <w:rsid w:val="003C795C"/>
    <w:rsid w:val="003C7ED1"/>
    <w:rsid w:val="003D01D1"/>
    <w:rsid w:val="003D08FB"/>
    <w:rsid w:val="003D09B8"/>
    <w:rsid w:val="003D1AD1"/>
    <w:rsid w:val="003D1FD4"/>
    <w:rsid w:val="003D456D"/>
    <w:rsid w:val="003D547D"/>
    <w:rsid w:val="003D60FD"/>
    <w:rsid w:val="003D6D34"/>
    <w:rsid w:val="003D71A7"/>
    <w:rsid w:val="003D7360"/>
    <w:rsid w:val="003D7A84"/>
    <w:rsid w:val="003E073D"/>
    <w:rsid w:val="003E0B53"/>
    <w:rsid w:val="003E0DF0"/>
    <w:rsid w:val="003E0EBC"/>
    <w:rsid w:val="003E435B"/>
    <w:rsid w:val="003E48F5"/>
    <w:rsid w:val="003E4922"/>
    <w:rsid w:val="003E5138"/>
    <w:rsid w:val="003E5402"/>
    <w:rsid w:val="003E550F"/>
    <w:rsid w:val="003E5C1B"/>
    <w:rsid w:val="003E63B9"/>
    <w:rsid w:val="003F02B5"/>
    <w:rsid w:val="003F2035"/>
    <w:rsid w:val="003F2EE1"/>
    <w:rsid w:val="003F3EB3"/>
    <w:rsid w:val="003F3FB0"/>
    <w:rsid w:val="003F446D"/>
    <w:rsid w:val="003F57FF"/>
    <w:rsid w:val="003F600C"/>
    <w:rsid w:val="003F62BC"/>
    <w:rsid w:val="003F66B3"/>
    <w:rsid w:val="003F67F2"/>
    <w:rsid w:val="003F74FE"/>
    <w:rsid w:val="004008C3"/>
    <w:rsid w:val="00400E5A"/>
    <w:rsid w:val="00402800"/>
    <w:rsid w:val="004043B7"/>
    <w:rsid w:val="00404896"/>
    <w:rsid w:val="004062CA"/>
    <w:rsid w:val="00406B89"/>
    <w:rsid w:val="00406C00"/>
    <w:rsid w:val="00407688"/>
    <w:rsid w:val="004077AE"/>
    <w:rsid w:val="00410A74"/>
    <w:rsid w:val="00410DA6"/>
    <w:rsid w:val="004112DE"/>
    <w:rsid w:val="004114C2"/>
    <w:rsid w:val="004118D0"/>
    <w:rsid w:val="00411C84"/>
    <w:rsid w:val="0041214A"/>
    <w:rsid w:val="00412612"/>
    <w:rsid w:val="0041383D"/>
    <w:rsid w:val="004141BE"/>
    <w:rsid w:val="00415983"/>
    <w:rsid w:val="00416001"/>
    <w:rsid w:val="0041626C"/>
    <w:rsid w:val="004175C0"/>
    <w:rsid w:val="00417DCB"/>
    <w:rsid w:val="004206B4"/>
    <w:rsid w:val="00420779"/>
    <w:rsid w:val="00420B79"/>
    <w:rsid w:val="004216BC"/>
    <w:rsid w:val="00421A51"/>
    <w:rsid w:val="00421B39"/>
    <w:rsid w:val="00422340"/>
    <w:rsid w:val="00423F6D"/>
    <w:rsid w:val="00424B92"/>
    <w:rsid w:val="00425C71"/>
    <w:rsid w:val="00425DE3"/>
    <w:rsid w:val="004273F9"/>
    <w:rsid w:val="00430D99"/>
    <w:rsid w:val="00430DD6"/>
    <w:rsid w:val="00431641"/>
    <w:rsid w:val="0043172F"/>
    <w:rsid w:val="00431DA8"/>
    <w:rsid w:val="0043395A"/>
    <w:rsid w:val="00434C08"/>
    <w:rsid w:val="004350EC"/>
    <w:rsid w:val="00436F28"/>
    <w:rsid w:val="00436F3F"/>
    <w:rsid w:val="00441354"/>
    <w:rsid w:val="00441E8E"/>
    <w:rsid w:val="004420D8"/>
    <w:rsid w:val="00442566"/>
    <w:rsid w:val="00442D5A"/>
    <w:rsid w:val="0044308D"/>
    <w:rsid w:val="0044424C"/>
    <w:rsid w:val="00444F53"/>
    <w:rsid w:val="004454CE"/>
    <w:rsid w:val="00445791"/>
    <w:rsid w:val="00445967"/>
    <w:rsid w:val="004461CD"/>
    <w:rsid w:val="0044663B"/>
    <w:rsid w:val="00446A50"/>
    <w:rsid w:val="0044703C"/>
    <w:rsid w:val="00447229"/>
    <w:rsid w:val="004476C3"/>
    <w:rsid w:val="00450374"/>
    <w:rsid w:val="00451371"/>
    <w:rsid w:val="0045259F"/>
    <w:rsid w:val="0045319E"/>
    <w:rsid w:val="00453203"/>
    <w:rsid w:val="0045347C"/>
    <w:rsid w:val="00455506"/>
    <w:rsid w:val="0045657B"/>
    <w:rsid w:val="0045787D"/>
    <w:rsid w:val="00457B95"/>
    <w:rsid w:val="00457CF5"/>
    <w:rsid w:val="00461038"/>
    <w:rsid w:val="0046191F"/>
    <w:rsid w:val="00461C2B"/>
    <w:rsid w:val="00461E1D"/>
    <w:rsid w:val="00462951"/>
    <w:rsid w:val="00462C38"/>
    <w:rsid w:val="00463396"/>
    <w:rsid w:val="00464503"/>
    <w:rsid w:val="00464CDB"/>
    <w:rsid w:val="00465262"/>
    <w:rsid w:val="00465942"/>
    <w:rsid w:val="00465987"/>
    <w:rsid w:val="0046628E"/>
    <w:rsid w:val="0046640C"/>
    <w:rsid w:val="00466455"/>
    <w:rsid w:val="004674E5"/>
    <w:rsid w:val="0046778F"/>
    <w:rsid w:val="004679F1"/>
    <w:rsid w:val="00471187"/>
    <w:rsid w:val="004721E2"/>
    <w:rsid w:val="00473556"/>
    <w:rsid w:val="004735AA"/>
    <w:rsid w:val="00473B17"/>
    <w:rsid w:val="004748A4"/>
    <w:rsid w:val="00475124"/>
    <w:rsid w:val="00475FBB"/>
    <w:rsid w:val="00477688"/>
    <w:rsid w:val="00477908"/>
    <w:rsid w:val="00481D24"/>
    <w:rsid w:val="004846BD"/>
    <w:rsid w:val="00484DAF"/>
    <w:rsid w:val="004855B8"/>
    <w:rsid w:val="00485D7A"/>
    <w:rsid w:val="00486D7C"/>
    <w:rsid w:val="00486DDD"/>
    <w:rsid w:val="0049069A"/>
    <w:rsid w:val="00491993"/>
    <w:rsid w:val="004950C3"/>
    <w:rsid w:val="0049666E"/>
    <w:rsid w:val="0049670B"/>
    <w:rsid w:val="00496E87"/>
    <w:rsid w:val="00497A0C"/>
    <w:rsid w:val="004A014D"/>
    <w:rsid w:val="004A0367"/>
    <w:rsid w:val="004A053D"/>
    <w:rsid w:val="004A11EE"/>
    <w:rsid w:val="004A12E9"/>
    <w:rsid w:val="004A2C65"/>
    <w:rsid w:val="004A3250"/>
    <w:rsid w:val="004A3B1B"/>
    <w:rsid w:val="004A415F"/>
    <w:rsid w:val="004A4465"/>
    <w:rsid w:val="004A4645"/>
    <w:rsid w:val="004A49B5"/>
    <w:rsid w:val="004A4AF9"/>
    <w:rsid w:val="004A4C3D"/>
    <w:rsid w:val="004A4F9C"/>
    <w:rsid w:val="004A54EC"/>
    <w:rsid w:val="004A6E05"/>
    <w:rsid w:val="004A7797"/>
    <w:rsid w:val="004A7AB3"/>
    <w:rsid w:val="004B212B"/>
    <w:rsid w:val="004B3955"/>
    <w:rsid w:val="004B3E55"/>
    <w:rsid w:val="004B5589"/>
    <w:rsid w:val="004B7071"/>
    <w:rsid w:val="004C0913"/>
    <w:rsid w:val="004C18D7"/>
    <w:rsid w:val="004C3274"/>
    <w:rsid w:val="004C35F3"/>
    <w:rsid w:val="004C4C86"/>
    <w:rsid w:val="004C60E3"/>
    <w:rsid w:val="004C65BF"/>
    <w:rsid w:val="004C75CD"/>
    <w:rsid w:val="004C768D"/>
    <w:rsid w:val="004C7AFF"/>
    <w:rsid w:val="004C7E4C"/>
    <w:rsid w:val="004D0AA6"/>
    <w:rsid w:val="004D15BB"/>
    <w:rsid w:val="004D168E"/>
    <w:rsid w:val="004D16CD"/>
    <w:rsid w:val="004D172C"/>
    <w:rsid w:val="004D184E"/>
    <w:rsid w:val="004D2435"/>
    <w:rsid w:val="004D2B24"/>
    <w:rsid w:val="004D2F91"/>
    <w:rsid w:val="004D2FFC"/>
    <w:rsid w:val="004D3E79"/>
    <w:rsid w:val="004D4C9E"/>
    <w:rsid w:val="004D5049"/>
    <w:rsid w:val="004D56E5"/>
    <w:rsid w:val="004D588D"/>
    <w:rsid w:val="004D7FED"/>
    <w:rsid w:val="004E0BE7"/>
    <w:rsid w:val="004E1297"/>
    <w:rsid w:val="004E1540"/>
    <w:rsid w:val="004E18EE"/>
    <w:rsid w:val="004E238A"/>
    <w:rsid w:val="004E239A"/>
    <w:rsid w:val="004E46B1"/>
    <w:rsid w:val="004E69D3"/>
    <w:rsid w:val="004F0B36"/>
    <w:rsid w:val="004F3B97"/>
    <w:rsid w:val="004F53A1"/>
    <w:rsid w:val="004F570C"/>
    <w:rsid w:val="004F746F"/>
    <w:rsid w:val="004F7B2A"/>
    <w:rsid w:val="004F7C30"/>
    <w:rsid w:val="004F7E11"/>
    <w:rsid w:val="0050124F"/>
    <w:rsid w:val="0050154F"/>
    <w:rsid w:val="00501D1D"/>
    <w:rsid w:val="0050240D"/>
    <w:rsid w:val="0050374B"/>
    <w:rsid w:val="00505CA6"/>
    <w:rsid w:val="00505F82"/>
    <w:rsid w:val="00506C4F"/>
    <w:rsid w:val="005072ED"/>
    <w:rsid w:val="00507CA8"/>
    <w:rsid w:val="0051134C"/>
    <w:rsid w:val="00511A8D"/>
    <w:rsid w:val="00511BC2"/>
    <w:rsid w:val="005129CF"/>
    <w:rsid w:val="00513345"/>
    <w:rsid w:val="0051415D"/>
    <w:rsid w:val="00514703"/>
    <w:rsid w:val="00515705"/>
    <w:rsid w:val="0051590C"/>
    <w:rsid w:val="00516DCA"/>
    <w:rsid w:val="00517498"/>
    <w:rsid w:val="00517723"/>
    <w:rsid w:val="00520456"/>
    <w:rsid w:val="00520817"/>
    <w:rsid w:val="005224BA"/>
    <w:rsid w:val="00522D3A"/>
    <w:rsid w:val="00523029"/>
    <w:rsid w:val="0052333F"/>
    <w:rsid w:val="00524DE7"/>
    <w:rsid w:val="005260BA"/>
    <w:rsid w:val="005276E6"/>
    <w:rsid w:val="00527D25"/>
    <w:rsid w:val="005305F0"/>
    <w:rsid w:val="00530767"/>
    <w:rsid w:val="00530FC3"/>
    <w:rsid w:val="0053175C"/>
    <w:rsid w:val="00531813"/>
    <w:rsid w:val="00531CC0"/>
    <w:rsid w:val="005335BE"/>
    <w:rsid w:val="005338DB"/>
    <w:rsid w:val="00534B85"/>
    <w:rsid w:val="00534EE1"/>
    <w:rsid w:val="00535686"/>
    <w:rsid w:val="0053684B"/>
    <w:rsid w:val="00536993"/>
    <w:rsid w:val="00537BCA"/>
    <w:rsid w:val="00537EF3"/>
    <w:rsid w:val="005413E0"/>
    <w:rsid w:val="00541A36"/>
    <w:rsid w:val="00544242"/>
    <w:rsid w:val="00544C6B"/>
    <w:rsid w:val="00544FE9"/>
    <w:rsid w:val="005469E1"/>
    <w:rsid w:val="00546FEA"/>
    <w:rsid w:val="00547009"/>
    <w:rsid w:val="00547FB6"/>
    <w:rsid w:val="005508EE"/>
    <w:rsid w:val="00550DFF"/>
    <w:rsid w:val="00551335"/>
    <w:rsid w:val="00552625"/>
    <w:rsid w:val="00552DB4"/>
    <w:rsid w:val="005557AF"/>
    <w:rsid w:val="005564B4"/>
    <w:rsid w:val="00556511"/>
    <w:rsid w:val="0055678B"/>
    <w:rsid w:val="0055695E"/>
    <w:rsid w:val="00556E2C"/>
    <w:rsid w:val="00557AA2"/>
    <w:rsid w:val="00557EE8"/>
    <w:rsid w:val="00560A7E"/>
    <w:rsid w:val="005619EF"/>
    <w:rsid w:val="00561FBF"/>
    <w:rsid w:val="00561FEF"/>
    <w:rsid w:val="0056259C"/>
    <w:rsid w:val="005645AF"/>
    <w:rsid w:val="00564CC2"/>
    <w:rsid w:val="00564DAA"/>
    <w:rsid w:val="00565228"/>
    <w:rsid w:val="00565684"/>
    <w:rsid w:val="00565DB5"/>
    <w:rsid w:val="00570070"/>
    <w:rsid w:val="00570880"/>
    <w:rsid w:val="00571020"/>
    <w:rsid w:val="005712E9"/>
    <w:rsid w:val="00571753"/>
    <w:rsid w:val="00571EA5"/>
    <w:rsid w:val="00575D14"/>
    <w:rsid w:val="00576042"/>
    <w:rsid w:val="005763AD"/>
    <w:rsid w:val="00576FB8"/>
    <w:rsid w:val="00580F27"/>
    <w:rsid w:val="005814D2"/>
    <w:rsid w:val="00581545"/>
    <w:rsid w:val="00581D45"/>
    <w:rsid w:val="0058278D"/>
    <w:rsid w:val="00582B79"/>
    <w:rsid w:val="005835FF"/>
    <w:rsid w:val="00583C1B"/>
    <w:rsid w:val="005847D6"/>
    <w:rsid w:val="005866A9"/>
    <w:rsid w:val="0058675B"/>
    <w:rsid w:val="00586E8B"/>
    <w:rsid w:val="0058705E"/>
    <w:rsid w:val="005879B8"/>
    <w:rsid w:val="00587F57"/>
    <w:rsid w:val="00592C6F"/>
    <w:rsid w:val="00593183"/>
    <w:rsid w:val="0059454E"/>
    <w:rsid w:val="00596C8C"/>
    <w:rsid w:val="00597221"/>
    <w:rsid w:val="005A0154"/>
    <w:rsid w:val="005A0488"/>
    <w:rsid w:val="005A1A98"/>
    <w:rsid w:val="005A2CA5"/>
    <w:rsid w:val="005A30C4"/>
    <w:rsid w:val="005A423C"/>
    <w:rsid w:val="005A43A7"/>
    <w:rsid w:val="005A4438"/>
    <w:rsid w:val="005A526B"/>
    <w:rsid w:val="005A6321"/>
    <w:rsid w:val="005A7217"/>
    <w:rsid w:val="005A7DFB"/>
    <w:rsid w:val="005B1F9E"/>
    <w:rsid w:val="005B27AB"/>
    <w:rsid w:val="005B3152"/>
    <w:rsid w:val="005B36C9"/>
    <w:rsid w:val="005B428F"/>
    <w:rsid w:val="005B55BB"/>
    <w:rsid w:val="005B5BC6"/>
    <w:rsid w:val="005B7526"/>
    <w:rsid w:val="005B76A9"/>
    <w:rsid w:val="005C1431"/>
    <w:rsid w:val="005C20C8"/>
    <w:rsid w:val="005C2528"/>
    <w:rsid w:val="005C3E20"/>
    <w:rsid w:val="005C4244"/>
    <w:rsid w:val="005C42BB"/>
    <w:rsid w:val="005C5109"/>
    <w:rsid w:val="005C5664"/>
    <w:rsid w:val="005C58D0"/>
    <w:rsid w:val="005C63E2"/>
    <w:rsid w:val="005C66E3"/>
    <w:rsid w:val="005C69E9"/>
    <w:rsid w:val="005D082C"/>
    <w:rsid w:val="005D1B81"/>
    <w:rsid w:val="005D1CBA"/>
    <w:rsid w:val="005D2222"/>
    <w:rsid w:val="005D396C"/>
    <w:rsid w:val="005D51A0"/>
    <w:rsid w:val="005D5DBE"/>
    <w:rsid w:val="005D6584"/>
    <w:rsid w:val="005D6AB9"/>
    <w:rsid w:val="005E0928"/>
    <w:rsid w:val="005E0CFF"/>
    <w:rsid w:val="005E0F6D"/>
    <w:rsid w:val="005E1257"/>
    <w:rsid w:val="005E173A"/>
    <w:rsid w:val="005E193A"/>
    <w:rsid w:val="005E1A41"/>
    <w:rsid w:val="005E1A7C"/>
    <w:rsid w:val="005E311C"/>
    <w:rsid w:val="005E4102"/>
    <w:rsid w:val="005E566A"/>
    <w:rsid w:val="005E593E"/>
    <w:rsid w:val="005E6529"/>
    <w:rsid w:val="005E7174"/>
    <w:rsid w:val="005E7223"/>
    <w:rsid w:val="005E7C38"/>
    <w:rsid w:val="005F035E"/>
    <w:rsid w:val="005F1510"/>
    <w:rsid w:val="005F207D"/>
    <w:rsid w:val="005F5183"/>
    <w:rsid w:val="005F5324"/>
    <w:rsid w:val="005F54FE"/>
    <w:rsid w:val="005F5B5D"/>
    <w:rsid w:val="005F6E36"/>
    <w:rsid w:val="005F7BC0"/>
    <w:rsid w:val="006002AB"/>
    <w:rsid w:val="00600504"/>
    <w:rsid w:val="00600C40"/>
    <w:rsid w:val="006011AC"/>
    <w:rsid w:val="00601B1A"/>
    <w:rsid w:val="00601FDB"/>
    <w:rsid w:val="006023B4"/>
    <w:rsid w:val="00603B3D"/>
    <w:rsid w:val="006045A1"/>
    <w:rsid w:val="00605446"/>
    <w:rsid w:val="00605E6D"/>
    <w:rsid w:val="00606114"/>
    <w:rsid w:val="00606AAE"/>
    <w:rsid w:val="00606E2C"/>
    <w:rsid w:val="00607C05"/>
    <w:rsid w:val="00607DA6"/>
    <w:rsid w:val="00610256"/>
    <w:rsid w:val="006116F6"/>
    <w:rsid w:val="00612AEB"/>
    <w:rsid w:val="0061300F"/>
    <w:rsid w:val="006130FF"/>
    <w:rsid w:val="006131DF"/>
    <w:rsid w:val="006134D6"/>
    <w:rsid w:val="0061367E"/>
    <w:rsid w:val="006147D5"/>
    <w:rsid w:val="006147DE"/>
    <w:rsid w:val="006153CC"/>
    <w:rsid w:val="0061650F"/>
    <w:rsid w:val="00616F3C"/>
    <w:rsid w:val="00617423"/>
    <w:rsid w:val="00617AE5"/>
    <w:rsid w:val="00617EAE"/>
    <w:rsid w:val="0062027C"/>
    <w:rsid w:val="00620AF2"/>
    <w:rsid w:val="00620B53"/>
    <w:rsid w:val="00621A77"/>
    <w:rsid w:val="00621E01"/>
    <w:rsid w:val="006220A3"/>
    <w:rsid w:val="006221C2"/>
    <w:rsid w:val="00624AD6"/>
    <w:rsid w:val="006254D6"/>
    <w:rsid w:val="00625DD1"/>
    <w:rsid w:val="00630185"/>
    <w:rsid w:val="00630730"/>
    <w:rsid w:val="0063173E"/>
    <w:rsid w:val="006318CC"/>
    <w:rsid w:val="0063294E"/>
    <w:rsid w:val="006331AB"/>
    <w:rsid w:val="006332AD"/>
    <w:rsid w:val="00633632"/>
    <w:rsid w:val="00633820"/>
    <w:rsid w:val="006339CE"/>
    <w:rsid w:val="006342B1"/>
    <w:rsid w:val="00634783"/>
    <w:rsid w:val="00634F7C"/>
    <w:rsid w:val="0063517E"/>
    <w:rsid w:val="00635BCB"/>
    <w:rsid w:val="00636F64"/>
    <w:rsid w:val="00637777"/>
    <w:rsid w:val="00640429"/>
    <w:rsid w:val="00640D20"/>
    <w:rsid w:val="006435B1"/>
    <w:rsid w:val="00643A26"/>
    <w:rsid w:val="0064453C"/>
    <w:rsid w:val="00644721"/>
    <w:rsid w:val="00644A02"/>
    <w:rsid w:val="00645859"/>
    <w:rsid w:val="00646DA6"/>
    <w:rsid w:val="00647905"/>
    <w:rsid w:val="00647DDC"/>
    <w:rsid w:val="00647EC8"/>
    <w:rsid w:val="00650877"/>
    <w:rsid w:val="00650B79"/>
    <w:rsid w:val="00650E43"/>
    <w:rsid w:val="00655406"/>
    <w:rsid w:val="006569C9"/>
    <w:rsid w:val="00657024"/>
    <w:rsid w:val="00657756"/>
    <w:rsid w:val="00663820"/>
    <w:rsid w:val="00663832"/>
    <w:rsid w:val="006639B3"/>
    <w:rsid w:val="006647D4"/>
    <w:rsid w:val="00665298"/>
    <w:rsid w:val="00665385"/>
    <w:rsid w:val="0066540F"/>
    <w:rsid w:val="00665432"/>
    <w:rsid w:val="0066591E"/>
    <w:rsid w:val="00666616"/>
    <w:rsid w:val="00666A57"/>
    <w:rsid w:val="006672E4"/>
    <w:rsid w:val="0066794C"/>
    <w:rsid w:val="00670045"/>
    <w:rsid w:val="00672B99"/>
    <w:rsid w:val="00672C44"/>
    <w:rsid w:val="00673511"/>
    <w:rsid w:val="0067388B"/>
    <w:rsid w:val="00674852"/>
    <w:rsid w:val="00675D3A"/>
    <w:rsid w:val="00676489"/>
    <w:rsid w:val="006813BE"/>
    <w:rsid w:val="00681560"/>
    <w:rsid w:val="00681A33"/>
    <w:rsid w:val="0068299E"/>
    <w:rsid w:val="00683164"/>
    <w:rsid w:val="00683228"/>
    <w:rsid w:val="00684346"/>
    <w:rsid w:val="00684EC8"/>
    <w:rsid w:val="00684F30"/>
    <w:rsid w:val="00685365"/>
    <w:rsid w:val="0068564D"/>
    <w:rsid w:val="00685920"/>
    <w:rsid w:val="006875AF"/>
    <w:rsid w:val="00687CC7"/>
    <w:rsid w:val="00687EE6"/>
    <w:rsid w:val="006903F0"/>
    <w:rsid w:val="00693449"/>
    <w:rsid w:val="006936E9"/>
    <w:rsid w:val="006945D6"/>
    <w:rsid w:val="00694CAC"/>
    <w:rsid w:val="0069560A"/>
    <w:rsid w:val="006957DB"/>
    <w:rsid w:val="00695EB9"/>
    <w:rsid w:val="00696DE7"/>
    <w:rsid w:val="0069738B"/>
    <w:rsid w:val="00697ECD"/>
    <w:rsid w:val="006A2C5C"/>
    <w:rsid w:val="006A3598"/>
    <w:rsid w:val="006A52CB"/>
    <w:rsid w:val="006A59F1"/>
    <w:rsid w:val="006A5CFB"/>
    <w:rsid w:val="006A63AB"/>
    <w:rsid w:val="006A6DEB"/>
    <w:rsid w:val="006A7701"/>
    <w:rsid w:val="006B0DEA"/>
    <w:rsid w:val="006B143B"/>
    <w:rsid w:val="006B1F8F"/>
    <w:rsid w:val="006B4B56"/>
    <w:rsid w:val="006B583E"/>
    <w:rsid w:val="006B6033"/>
    <w:rsid w:val="006B63C7"/>
    <w:rsid w:val="006B6D38"/>
    <w:rsid w:val="006B794E"/>
    <w:rsid w:val="006C0DA8"/>
    <w:rsid w:val="006C119F"/>
    <w:rsid w:val="006C1616"/>
    <w:rsid w:val="006C16BE"/>
    <w:rsid w:val="006C1773"/>
    <w:rsid w:val="006C177F"/>
    <w:rsid w:val="006C1C87"/>
    <w:rsid w:val="006C22DB"/>
    <w:rsid w:val="006C27C1"/>
    <w:rsid w:val="006C3269"/>
    <w:rsid w:val="006C3389"/>
    <w:rsid w:val="006C3FD1"/>
    <w:rsid w:val="006C4436"/>
    <w:rsid w:val="006C4609"/>
    <w:rsid w:val="006C62C1"/>
    <w:rsid w:val="006C63B4"/>
    <w:rsid w:val="006C67DC"/>
    <w:rsid w:val="006C6D97"/>
    <w:rsid w:val="006C6E4C"/>
    <w:rsid w:val="006C78B9"/>
    <w:rsid w:val="006C7991"/>
    <w:rsid w:val="006D0516"/>
    <w:rsid w:val="006D05AA"/>
    <w:rsid w:val="006D0BE8"/>
    <w:rsid w:val="006D0D1C"/>
    <w:rsid w:val="006D0FE3"/>
    <w:rsid w:val="006D1DEE"/>
    <w:rsid w:val="006D291F"/>
    <w:rsid w:val="006D2F97"/>
    <w:rsid w:val="006D3D8A"/>
    <w:rsid w:val="006D4A20"/>
    <w:rsid w:val="006D5A98"/>
    <w:rsid w:val="006D5EEF"/>
    <w:rsid w:val="006D5FC4"/>
    <w:rsid w:val="006D60D9"/>
    <w:rsid w:val="006D6AAF"/>
    <w:rsid w:val="006D6BC7"/>
    <w:rsid w:val="006D702A"/>
    <w:rsid w:val="006D7178"/>
    <w:rsid w:val="006D7704"/>
    <w:rsid w:val="006D7C5E"/>
    <w:rsid w:val="006E0341"/>
    <w:rsid w:val="006E0A51"/>
    <w:rsid w:val="006E0B54"/>
    <w:rsid w:val="006E0B89"/>
    <w:rsid w:val="006E1B88"/>
    <w:rsid w:val="006E21C3"/>
    <w:rsid w:val="006E396A"/>
    <w:rsid w:val="006E3C79"/>
    <w:rsid w:val="006E41D0"/>
    <w:rsid w:val="006E4236"/>
    <w:rsid w:val="006E463E"/>
    <w:rsid w:val="006E4C32"/>
    <w:rsid w:val="006E5442"/>
    <w:rsid w:val="006E611E"/>
    <w:rsid w:val="006F1314"/>
    <w:rsid w:val="006F135B"/>
    <w:rsid w:val="006F1368"/>
    <w:rsid w:val="006F1DEB"/>
    <w:rsid w:val="006F30B9"/>
    <w:rsid w:val="006F498E"/>
    <w:rsid w:val="006F5B6B"/>
    <w:rsid w:val="006F69E8"/>
    <w:rsid w:val="0070058F"/>
    <w:rsid w:val="007015A1"/>
    <w:rsid w:val="0070168E"/>
    <w:rsid w:val="00701B81"/>
    <w:rsid w:val="00702E01"/>
    <w:rsid w:val="00702E28"/>
    <w:rsid w:val="00703889"/>
    <w:rsid w:val="007041B4"/>
    <w:rsid w:val="00704C5E"/>
    <w:rsid w:val="007058B2"/>
    <w:rsid w:val="00705ACD"/>
    <w:rsid w:val="00705ED7"/>
    <w:rsid w:val="00706011"/>
    <w:rsid w:val="0070695A"/>
    <w:rsid w:val="007076FE"/>
    <w:rsid w:val="007109A1"/>
    <w:rsid w:val="00710A29"/>
    <w:rsid w:val="00710B58"/>
    <w:rsid w:val="00710E31"/>
    <w:rsid w:val="00711887"/>
    <w:rsid w:val="007134DD"/>
    <w:rsid w:val="0071519A"/>
    <w:rsid w:val="00715927"/>
    <w:rsid w:val="00716A94"/>
    <w:rsid w:val="00717080"/>
    <w:rsid w:val="00717199"/>
    <w:rsid w:val="00717633"/>
    <w:rsid w:val="00720F0C"/>
    <w:rsid w:val="00721318"/>
    <w:rsid w:val="00721CD5"/>
    <w:rsid w:val="00722FCC"/>
    <w:rsid w:val="007230BD"/>
    <w:rsid w:val="0072314F"/>
    <w:rsid w:val="007234DC"/>
    <w:rsid w:val="0072460A"/>
    <w:rsid w:val="00724B76"/>
    <w:rsid w:val="00725069"/>
    <w:rsid w:val="00725188"/>
    <w:rsid w:val="00725671"/>
    <w:rsid w:val="00727D47"/>
    <w:rsid w:val="00730026"/>
    <w:rsid w:val="00731352"/>
    <w:rsid w:val="0073207C"/>
    <w:rsid w:val="007325DA"/>
    <w:rsid w:val="00732FEF"/>
    <w:rsid w:val="007343AC"/>
    <w:rsid w:val="00735545"/>
    <w:rsid w:val="007359B5"/>
    <w:rsid w:val="00735D28"/>
    <w:rsid w:val="00736BA3"/>
    <w:rsid w:val="00737026"/>
    <w:rsid w:val="00737D71"/>
    <w:rsid w:val="0074045F"/>
    <w:rsid w:val="0074084D"/>
    <w:rsid w:val="00740E4A"/>
    <w:rsid w:val="007424CC"/>
    <w:rsid w:val="00742EB9"/>
    <w:rsid w:val="0074343F"/>
    <w:rsid w:val="00743B7F"/>
    <w:rsid w:val="007445FA"/>
    <w:rsid w:val="00746105"/>
    <w:rsid w:val="00746F14"/>
    <w:rsid w:val="00750801"/>
    <w:rsid w:val="00750892"/>
    <w:rsid w:val="00751243"/>
    <w:rsid w:val="007512AA"/>
    <w:rsid w:val="00751442"/>
    <w:rsid w:val="007519AD"/>
    <w:rsid w:val="007521E4"/>
    <w:rsid w:val="0075262F"/>
    <w:rsid w:val="0075396C"/>
    <w:rsid w:val="00754B98"/>
    <w:rsid w:val="00754EA2"/>
    <w:rsid w:val="00754EAA"/>
    <w:rsid w:val="00756537"/>
    <w:rsid w:val="00757E7A"/>
    <w:rsid w:val="0076056B"/>
    <w:rsid w:val="00760D6B"/>
    <w:rsid w:val="00763724"/>
    <w:rsid w:val="00764810"/>
    <w:rsid w:val="00764BE2"/>
    <w:rsid w:val="0076691A"/>
    <w:rsid w:val="00766B1F"/>
    <w:rsid w:val="0077032B"/>
    <w:rsid w:val="007705C2"/>
    <w:rsid w:val="00770FD0"/>
    <w:rsid w:val="00771099"/>
    <w:rsid w:val="00771856"/>
    <w:rsid w:val="00772B56"/>
    <w:rsid w:val="00773B71"/>
    <w:rsid w:val="00773B79"/>
    <w:rsid w:val="00774483"/>
    <w:rsid w:val="00774792"/>
    <w:rsid w:val="0077615F"/>
    <w:rsid w:val="007762F0"/>
    <w:rsid w:val="0077654D"/>
    <w:rsid w:val="0077660D"/>
    <w:rsid w:val="0077663C"/>
    <w:rsid w:val="007768D1"/>
    <w:rsid w:val="00780D26"/>
    <w:rsid w:val="007816F6"/>
    <w:rsid w:val="0078286F"/>
    <w:rsid w:val="00782FF6"/>
    <w:rsid w:val="0078382A"/>
    <w:rsid w:val="007845FB"/>
    <w:rsid w:val="00785B54"/>
    <w:rsid w:val="00785C31"/>
    <w:rsid w:val="007863FF"/>
    <w:rsid w:val="0078705C"/>
    <w:rsid w:val="007873FB"/>
    <w:rsid w:val="00787CBF"/>
    <w:rsid w:val="00787EF3"/>
    <w:rsid w:val="007900E6"/>
    <w:rsid w:val="00790853"/>
    <w:rsid w:val="00790CCE"/>
    <w:rsid w:val="007925C0"/>
    <w:rsid w:val="00793188"/>
    <w:rsid w:val="00793259"/>
    <w:rsid w:val="00793262"/>
    <w:rsid w:val="0079580A"/>
    <w:rsid w:val="007960F6"/>
    <w:rsid w:val="00796D62"/>
    <w:rsid w:val="007A06C7"/>
    <w:rsid w:val="007A076D"/>
    <w:rsid w:val="007A190C"/>
    <w:rsid w:val="007A2338"/>
    <w:rsid w:val="007A2999"/>
    <w:rsid w:val="007A33FA"/>
    <w:rsid w:val="007A386E"/>
    <w:rsid w:val="007A3F29"/>
    <w:rsid w:val="007A4034"/>
    <w:rsid w:val="007A4040"/>
    <w:rsid w:val="007A44E9"/>
    <w:rsid w:val="007A54DF"/>
    <w:rsid w:val="007A5CAD"/>
    <w:rsid w:val="007A6E03"/>
    <w:rsid w:val="007A7D2D"/>
    <w:rsid w:val="007B03A9"/>
    <w:rsid w:val="007B0A56"/>
    <w:rsid w:val="007B0ECD"/>
    <w:rsid w:val="007B17B2"/>
    <w:rsid w:val="007B1DE9"/>
    <w:rsid w:val="007B250C"/>
    <w:rsid w:val="007B266C"/>
    <w:rsid w:val="007B3AF2"/>
    <w:rsid w:val="007B3E20"/>
    <w:rsid w:val="007B4449"/>
    <w:rsid w:val="007B57CF"/>
    <w:rsid w:val="007B5C5C"/>
    <w:rsid w:val="007C0CCD"/>
    <w:rsid w:val="007C1532"/>
    <w:rsid w:val="007C296A"/>
    <w:rsid w:val="007C29B8"/>
    <w:rsid w:val="007C2E4C"/>
    <w:rsid w:val="007C30CC"/>
    <w:rsid w:val="007C39FC"/>
    <w:rsid w:val="007C3FEA"/>
    <w:rsid w:val="007C400B"/>
    <w:rsid w:val="007C464C"/>
    <w:rsid w:val="007C589F"/>
    <w:rsid w:val="007C71FA"/>
    <w:rsid w:val="007C7201"/>
    <w:rsid w:val="007D0047"/>
    <w:rsid w:val="007D1021"/>
    <w:rsid w:val="007D10C8"/>
    <w:rsid w:val="007D30D2"/>
    <w:rsid w:val="007D35D8"/>
    <w:rsid w:val="007D448B"/>
    <w:rsid w:val="007D46F0"/>
    <w:rsid w:val="007D4BF6"/>
    <w:rsid w:val="007D4C6C"/>
    <w:rsid w:val="007D52C9"/>
    <w:rsid w:val="007D5361"/>
    <w:rsid w:val="007D58D9"/>
    <w:rsid w:val="007D5E31"/>
    <w:rsid w:val="007D6052"/>
    <w:rsid w:val="007E013A"/>
    <w:rsid w:val="007E0490"/>
    <w:rsid w:val="007E105B"/>
    <w:rsid w:val="007E1A6F"/>
    <w:rsid w:val="007E1F47"/>
    <w:rsid w:val="007E2376"/>
    <w:rsid w:val="007E27C8"/>
    <w:rsid w:val="007E48AE"/>
    <w:rsid w:val="007E4B3E"/>
    <w:rsid w:val="007E5EE0"/>
    <w:rsid w:val="007E7061"/>
    <w:rsid w:val="007F0655"/>
    <w:rsid w:val="007F130A"/>
    <w:rsid w:val="007F2FE5"/>
    <w:rsid w:val="007F366D"/>
    <w:rsid w:val="007F3D7B"/>
    <w:rsid w:val="007F41C3"/>
    <w:rsid w:val="007F42E7"/>
    <w:rsid w:val="007F4D94"/>
    <w:rsid w:val="007F5D82"/>
    <w:rsid w:val="007F6303"/>
    <w:rsid w:val="007F657C"/>
    <w:rsid w:val="007F7780"/>
    <w:rsid w:val="007F7AA8"/>
    <w:rsid w:val="008007BC"/>
    <w:rsid w:val="00801AEC"/>
    <w:rsid w:val="00802446"/>
    <w:rsid w:val="00803216"/>
    <w:rsid w:val="00803D05"/>
    <w:rsid w:val="00803D2D"/>
    <w:rsid w:val="00805837"/>
    <w:rsid w:val="00805BDA"/>
    <w:rsid w:val="00805C57"/>
    <w:rsid w:val="00806578"/>
    <w:rsid w:val="00807167"/>
    <w:rsid w:val="008105D1"/>
    <w:rsid w:val="00810953"/>
    <w:rsid w:val="0081112D"/>
    <w:rsid w:val="00811227"/>
    <w:rsid w:val="00812AF4"/>
    <w:rsid w:val="00812EF8"/>
    <w:rsid w:val="0081416B"/>
    <w:rsid w:val="00814283"/>
    <w:rsid w:val="00814409"/>
    <w:rsid w:val="008147BE"/>
    <w:rsid w:val="00814FC3"/>
    <w:rsid w:val="00815720"/>
    <w:rsid w:val="008159A7"/>
    <w:rsid w:val="008174D6"/>
    <w:rsid w:val="00817651"/>
    <w:rsid w:val="008176AB"/>
    <w:rsid w:val="00817F80"/>
    <w:rsid w:val="00820B49"/>
    <w:rsid w:val="00821D8F"/>
    <w:rsid w:val="008221B5"/>
    <w:rsid w:val="00822886"/>
    <w:rsid w:val="00824081"/>
    <w:rsid w:val="0082694E"/>
    <w:rsid w:val="00827F73"/>
    <w:rsid w:val="00830DBA"/>
    <w:rsid w:val="00831A23"/>
    <w:rsid w:val="0083297A"/>
    <w:rsid w:val="008335FA"/>
    <w:rsid w:val="00833BA3"/>
    <w:rsid w:val="00833DAA"/>
    <w:rsid w:val="0083448C"/>
    <w:rsid w:val="00834CCF"/>
    <w:rsid w:val="00834F59"/>
    <w:rsid w:val="00835C34"/>
    <w:rsid w:val="008360FB"/>
    <w:rsid w:val="0083647D"/>
    <w:rsid w:val="00836C6F"/>
    <w:rsid w:val="00836F3D"/>
    <w:rsid w:val="00842F4C"/>
    <w:rsid w:val="00844793"/>
    <w:rsid w:val="00844B33"/>
    <w:rsid w:val="00844E5C"/>
    <w:rsid w:val="00844ECA"/>
    <w:rsid w:val="0084540F"/>
    <w:rsid w:val="00845456"/>
    <w:rsid w:val="0084651F"/>
    <w:rsid w:val="008502AA"/>
    <w:rsid w:val="0085153D"/>
    <w:rsid w:val="00851581"/>
    <w:rsid w:val="008530B1"/>
    <w:rsid w:val="00853A14"/>
    <w:rsid w:val="00853BA0"/>
    <w:rsid w:val="00853E50"/>
    <w:rsid w:val="00854829"/>
    <w:rsid w:val="00856DAF"/>
    <w:rsid w:val="008571D4"/>
    <w:rsid w:val="00860D61"/>
    <w:rsid w:val="00861352"/>
    <w:rsid w:val="008618E9"/>
    <w:rsid w:val="008629DC"/>
    <w:rsid w:val="00862CC1"/>
    <w:rsid w:val="00862FDC"/>
    <w:rsid w:val="00863085"/>
    <w:rsid w:val="0086346B"/>
    <w:rsid w:val="00865C7E"/>
    <w:rsid w:val="0086601F"/>
    <w:rsid w:val="00866078"/>
    <w:rsid w:val="00866463"/>
    <w:rsid w:val="00866C3C"/>
    <w:rsid w:val="008672DC"/>
    <w:rsid w:val="00870528"/>
    <w:rsid w:val="00870A39"/>
    <w:rsid w:val="00870C1E"/>
    <w:rsid w:val="008710C9"/>
    <w:rsid w:val="0087151D"/>
    <w:rsid w:val="00873500"/>
    <w:rsid w:val="008738AA"/>
    <w:rsid w:val="00873E17"/>
    <w:rsid w:val="00873E3B"/>
    <w:rsid w:val="0087421E"/>
    <w:rsid w:val="00874892"/>
    <w:rsid w:val="008755E7"/>
    <w:rsid w:val="00875EAA"/>
    <w:rsid w:val="008760FD"/>
    <w:rsid w:val="00877E18"/>
    <w:rsid w:val="00877F15"/>
    <w:rsid w:val="00880102"/>
    <w:rsid w:val="00880F5A"/>
    <w:rsid w:val="0088121F"/>
    <w:rsid w:val="008813DE"/>
    <w:rsid w:val="0088165E"/>
    <w:rsid w:val="00883C15"/>
    <w:rsid w:val="0088486F"/>
    <w:rsid w:val="00884AA7"/>
    <w:rsid w:val="00884B83"/>
    <w:rsid w:val="00886AD0"/>
    <w:rsid w:val="00886EC4"/>
    <w:rsid w:val="00890593"/>
    <w:rsid w:val="00892223"/>
    <w:rsid w:val="0089235E"/>
    <w:rsid w:val="008924EE"/>
    <w:rsid w:val="00892CBA"/>
    <w:rsid w:val="0089305B"/>
    <w:rsid w:val="008930C5"/>
    <w:rsid w:val="0089348B"/>
    <w:rsid w:val="008940E4"/>
    <w:rsid w:val="00895A95"/>
    <w:rsid w:val="008968D2"/>
    <w:rsid w:val="00897BA8"/>
    <w:rsid w:val="008A013B"/>
    <w:rsid w:val="008A1348"/>
    <w:rsid w:val="008A2675"/>
    <w:rsid w:val="008A2B76"/>
    <w:rsid w:val="008A2B88"/>
    <w:rsid w:val="008A2D89"/>
    <w:rsid w:val="008A398B"/>
    <w:rsid w:val="008A409B"/>
    <w:rsid w:val="008A5347"/>
    <w:rsid w:val="008A5739"/>
    <w:rsid w:val="008A5970"/>
    <w:rsid w:val="008A597D"/>
    <w:rsid w:val="008A5D3D"/>
    <w:rsid w:val="008A66C9"/>
    <w:rsid w:val="008A6EC1"/>
    <w:rsid w:val="008A7191"/>
    <w:rsid w:val="008A71B1"/>
    <w:rsid w:val="008B24ED"/>
    <w:rsid w:val="008B29AB"/>
    <w:rsid w:val="008B39FD"/>
    <w:rsid w:val="008B47EA"/>
    <w:rsid w:val="008B48DB"/>
    <w:rsid w:val="008B4ADF"/>
    <w:rsid w:val="008B5325"/>
    <w:rsid w:val="008B5580"/>
    <w:rsid w:val="008B55FD"/>
    <w:rsid w:val="008B5694"/>
    <w:rsid w:val="008B602D"/>
    <w:rsid w:val="008B65F1"/>
    <w:rsid w:val="008B65FD"/>
    <w:rsid w:val="008B6775"/>
    <w:rsid w:val="008B7AAF"/>
    <w:rsid w:val="008B7CD0"/>
    <w:rsid w:val="008C0044"/>
    <w:rsid w:val="008C0476"/>
    <w:rsid w:val="008C0B53"/>
    <w:rsid w:val="008C0DCA"/>
    <w:rsid w:val="008C133C"/>
    <w:rsid w:val="008C148F"/>
    <w:rsid w:val="008C235E"/>
    <w:rsid w:val="008C3199"/>
    <w:rsid w:val="008C3366"/>
    <w:rsid w:val="008C3C71"/>
    <w:rsid w:val="008C4BD5"/>
    <w:rsid w:val="008C51B4"/>
    <w:rsid w:val="008C535F"/>
    <w:rsid w:val="008C5CCF"/>
    <w:rsid w:val="008C7597"/>
    <w:rsid w:val="008C7ECB"/>
    <w:rsid w:val="008D0008"/>
    <w:rsid w:val="008D02CE"/>
    <w:rsid w:val="008D0D2E"/>
    <w:rsid w:val="008D0F4D"/>
    <w:rsid w:val="008D22F8"/>
    <w:rsid w:val="008D2433"/>
    <w:rsid w:val="008D2644"/>
    <w:rsid w:val="008D3187"/>
    <w:rsid w:val="008D3CFD"/>
    <w:rsid w:val="008D3D62"/>
    <w:rsid w:val="008D48EE"/>
    <w:rsid w:val="008D4E84"/>
    <w:rsid w:val="008D4F1B"/>
    <w:rsid w:val="008D502E"/>
    <w:rsid w:val="008D541C"/>
    <w:rsid w:val="008D5D4D"/>
    <w:rsid w:val="008D5EFA"/>
    <w:rsid w:val="008D6514"/>
    <w:rsid w:val="008D69D6"/>
    <w:rsid w:val="008D6EEE"/>
    <w:rsid w:val="008D721E"/>
    <w:rsid w:val="008E068F"/>
    <w:rsid w:val="008E0A22"/>
    <w:rsid w:val="008E1C3A"/>
    <w:rsid w:val="008E1F58"/>
    <w:rsid w:val="008E24EC"/>
    <w:rsid w:val="008E295F"/>
    <w:rsid w:val="008E3310"/>
    <w:rsid w:val="008E3637"/>
    <w:rsid w:val="008E45A1"/>
    <w:rsid w:val="008E5079"/>
    <w:rsid w:val="008E511C"/>
    <w:rsid w:val="008E6F1E"/>
    <w:rsid w:val="008E73A0"/>
    <w:rsid w:val="008E7776"/>
    <w:rsid w:val="008E7AA9"/>
    <w:rsid w:val="008E7AB3"/>
    <w:rsid w:val="008F15FC"/>
    <w:rsid w:val="008F1A27"/>
    <w:rsid w:val="008F1AB7"/>
    <w:rsid w:val="008F22C8"/>
    <w:rsid w:val="008F3138"/>
    <w:rsid w:val="008F3B7C"/>
    <w:rsid w:val="008F4C48"/>
    <w:rsid w:val="008F4FE4"/>
    <w:rsid w:val="008F61AF"/>
    <w:rsid w:val="00900616"/>
    <w:rsid w:val="00901A2D"/>
    <w:rsid w:val="00901B1A"/>
    <w:rsid w:val="00902A55"/>
    <w:rsid w:val="0090317A"/>
    <w:rsid w:val="009035DD"/>
    <w:rsid w:val="00903BD9"/>
    <w:rsid w:val="009040E6"/>
    <w:rsid w:val="00904340"/>
    <w:rsid w:val="00904CD8"/>
    <w:rsid w:val="009050C7"/>
    <w:rsid w:val="009075F0"/>
    <w:rsid w:val="00907AA0"/>
    <w:rsid w:val="00910B27"/>
    <w:rsid w:val="00910E63"/>
    <w:rsid w:val="00911316"/>
    <w:rsid w:val="009136B6"/>
    <w:rsid w:val="0091465A"/>
    <w:rsid w:val="00914E7B"/>
    <w:rsid w:val="00915B1A"/>
    <w:rsid w:val="00915CC7"/>
    <w:rsid w:val="00916501"/>
    <w:rsid w:val="009170DA"/>
    <w:rsid w:val="00920495"/>
    <w:rsid w:val="00920DE3"/>
    <w:rsid w:val="0092324B"/>
    <w:rsid w:val="00923BEF"/>
    <w:rsid w:val="00923DBC"/>
    <w:rsid w:val="00924CD8"/>
    <w:rsid w:val="00924E47"/>
    <w:rsid w:val="00925371"/>
    <w:rsid w:val="0092582E"/>
    <w:rsid w:val="00925BA1"/>
    <w:rsid w:val="00925C5E"/>
    <w:rsid w:val="00925E12"/>
    <w:rsid w:val="0092686D"/>
    <w:rsid w:val="009277AD"/>
    <w:rsid w:val="0093073D"/>
    <w:rsid w:val="009308D8"/>
    <w:rsid w:val="009316B8"/>
    <w:rsid w:val="00931F21"/>
    <w:rsid w:val="00932610"/>
    <w:rsid w:val="00933162"/>
    <w:rsid w:val="00934E43"/>
    <w:rsid w:val="00935A6D"/>
    <w:rsid w:val="0093780B"/>
    <w:rsid w:val="00937D40"/>
    <w:rsid w:val="00940103"/>
    <w:rsid w:val="00940116"/>
    <w:rsid w:val="00940484"/>
    <w:rsid w:val="009417B2"/>
    <w:rsid w:val="0094221C"/>
    <w:rsid w:val="009425EB"/>
    <w:rsid w:val="0094296D"/>
    <w:rsid w:val="00943125"/>
    <w:rsid w:val="00943708"/>
    <w:rsid w:val="00943AEC"/>
    <w:rsid w:val="009446C5"/>
    <w:rsid w:val="00945164"/>
    <w:rsid w:val="00945C82"/>
    <w:rsid w:val="00946B6F"/>
    <w:rsid w:val="009477C5"/>
    <w:rsid w:val="009501F9"/>
    <w:rsid w:val="0095079D"/>
    <w:rsid w:val="00950DC4"/>
    <w:rsid w:val="00950E14"/>
    <w:rsid w:val="009512D5"/>
    <w:rsid w:val="00952D6D"/>
    <w:rsid w:val="009533FB"/>
    <w:rsid w:val="009535F9"/>
    <w:rsid w:val="0095494B"/>
    <w:rsid w:val="0095506C"/>
    <w:rsid w:val="009558C8"/>
    <w:rsid w:val="0095640E"/>
    <w:rsid w:val="009578E8"/>
    <w:rsid w:val="00957C99"/>
    <w:rsid w:val="00960549"/>
    <w:rsid w:val="00961CF6"/>
    <w:rsid w:val="009620D2"/>
    <w:rsid w:val="009621FC"/>
    <w:rsid w:val="009626E0"/>
    <w:rsid w:val="0096270F"/>
    <w:rsid w:val="00963D5B"/>
    <w:rsid w:val="00964899"/>
    <w:rsid w:val="0096530C"/>
    <w:rsid w:val="009657F5"/>
    <w:rsid w:val="009660A9"/>
    <w:rsid w:val="00967309"/>
    <w:rsid w:val="00967F32"/>
    <w:rsid w:val="009708B8"/>
    <w:rsid w:val="00970CAF"/>
    <w:rsid w:val="00972F09"/>
    <w:rsid w:val="00973316"/>
    <w:rsid w:val="00973EE3"/>
    <w:rsid w:val="00974455"/>
    <w:rsid w:val="00975E73"/>
    <w:rsid w:val="0097610A"/>
    <w:rsid w:val="00976384"/>
    <w:rsid w:val="00980B77"/>
    <w:rsid w:val="00981691"/>
    <w:rsid w:val="009818AA"/>
    <w:rsid w:val="00981F2C"/>
    <w:rsid w:val="00982558"/>
    <w:rsid w:val="00982B50"/>
    <w:rsid w:val="009830F9"/>
    <w:rsid w:val="0098427A"/>
    <w:rsid w:val="009844B4"/>
    <w:rsid w:val="0098511B"/>
    <w:rsid w:val="00985652"/>
    <w:rsid w:val="00985CF1"/>
    <w:rsid w:val="00985D1B"/>
    <w:rsid w:val="00985D90"/>
    <w:rsid w:val="00985F6A"/>
    <w:rsid w:val="0098670A"/>
    <w:rsid w:val="00986D0A"/>
    <w:rsid w:val="0098704A"/>
    <w:rsid w:val="00987255"/>
    <w:rsid w:val="00987260"/>
    <w:rsid w:val="009877DE"/>
    <w:rsid w:val="00987BC6"/>
    <w:rsid w:val="00987EFC"/>
    <w:rsid w:val="009919F4"/>
    <w:rsid w:val="00991AAE"/>
    <w:rsid w:val="00991FE3"/>
    <w:rsid w:val="00992C5A"/>
    <w:rsid w:val="0099358F"/>
    <w:rsid w:val="00993662"/>
    <w:rsid w:val="00993770"/>
    <w:rsid w:val="00993AF2"/>
    <w:rsid w:val="00993F69"/>
    <w:rsid w:val="00994958"/>
    <w:rsid w:val="009949DC"/>
    <w:rsid w:val="00994B30"/>
    <w:rsid w:val="00997246"/>
    <w:rsid w:val="009972CF"/>
    <w:rsid w:val="00997994"/>
    <w:rsid w:val="009A01B7"/>
    <w:rsid w:val="009A0850"/>
    <w:rsid w:val="009A18E7"/>
    <w:rsid w:val="009A23D7"/>
    <w:rsid w:val="009A2964"/>
    <w:rsid w:val="009A32F5"/>
    <w:rsid w:val="009A40F8"/>
    <w:rsid w:val="009A4B1D"/>
    <w:rsid w:val="009A4EC2"/>
    <w:rsid w:val="009A5297"/>
    <w:rsid w:val="009A5DBC"/>
    <w:rsid w:val="009A69F2"/>
    <w:rsid w:val="009A6B5A"/>
    <w:rsid w:val="009A7829"/>
    <w:rsid w:val="009A7C6C"/>
    <w:rsid w:val="009B1325"/>
    <w:rsid w:val="009B152F"/>
    <w:rsid w:val="009B197A"/>
    <w:rsid w:val="009B1D96"/>
    <w:rsid w:val="009B23D0"/>
    <w:rsid w:val="009B271F"/>
    <w:rsid w:val="009B2BE6"/>
    <w:rsid w:val="009B3DA2"/>
    <w:rsid w:val="009B4AD8"/>
    <w:rsid w:val="009B52C6"/>
    <w:rsid w:val="009B533F"/>
    <w:rsid w:val="009B5802"/>
    <w:rsid w:val="009B5D6B"/>
    <w:rsid w:val="009B5E56"/>
    <w:rsid w:val="009B6947"/>
    <w:rsid w:val="009C0C6C"/>
    <w:rsid w:val="009C10E1"/>
    <w:rsid w:val="009C1769"/>
    <w:rsid w:val="009C2133"/>
    <w:rsid w:val="009C31C5"/>
    <w:rsid w:val="009C3639"/>
    <w:rsid w:val="009C3734"/>
    <w:rsid w:val="009C5054"/>
    <w:rsid w:val="009C5505"/>
    <w:rsid w:val="009C587B"/>
    <w:rsid w:val="009C5DC1"/>
    <w:rsid w:val="009C6533"/>
    <w:rsid w:val="009C6FF4"/>
    <w:rsid w:val="009C7015"/>
    <w:rsid w:val="009C7081"/>
    <w:rsid w:val="009C7182"/>
    <w:rsid w:val="009C7E1B"/>
    <w:rsid w:val="009D090B"/>
    <w:rsid w:val="009D0B32"/>
    <w:rsid w:val="009D1928"/>
    <w:rsid w:val="009D269D"/>
    <w:rsid w:val="009D2D90"/>
    <w:rsid w:val="009D3546"/>
    <w:rsid w:val="009D4847"/>
    <w:rsid w:val="009D48C4"/>
    <w:rsid w:val="009D4F0C"/>
    <w:rsid w:val="009D5080"/>
    <w:rsid w:val="009D53CA"/>
    <w:rsid w:val="009E0B7A"/>
    <w:rsid w:val="009E0F54"/>
    <w:rsid w:val="009E2779"/>
    <w:rsid w:val="009E29BA"/>
    <w:rsid w:val="009E2E48"/>
    <w:rsid w:val="009E382D"/>
    <w:rsid w:val="009E4796"/>
    <w:rsid w:val="009E47E2"/>
    <w:rsid w:val="009E5C1A"/>
    <w:rsid w:val="009E7349"/>
    <w:rsid w:val="009E759A"/>
    <w:rsid w:val="009E79A2"/>
    <w:rsid w:val="009F02B2"/>
    <w:rsid w:val="009F0444"/>
    <w:rsid w:val="009F0734"/>
    <w:rsid w:val="009F077F"/>
    <w:rsid w:val="009F277A"/>
    <w:rsid w:val="009F412F"/>
    <w:rsid w:val="009F449C"/>
    <w:rsid w:val="009F4CA4"/>
    <w:rsid w:val="009F57CE"/>
    <w:rsid w:val="009F6346"/>
    <w:rsid w:val="00A0035B"/>
    <w:rsid w:val="00A00CDC"/>
    <w:rsid w:val="00A016DE"/>
    <w:rsid w:val="00A01D06"/>
    <w:rsid w:val="00A01DFB"/>
    <w:rsid w:val="00A0216C"/>
    <w:rsid w:val="00A024A0"/>
    <w:rsid w:val="00A029F9"/>
    <w:rsid w:val="00A03089"/>
    <w:rsid w:val="00A03548"/>
    <w:rsid w:val="00A03B7B"/>
    <w:rsid w:val="00A03FCA"/>
    <w:rsid w:val="00A04188"/>
    <w:rsid w:val="00A0429B"/>
    <w:rsid w:val="00A046E0"/>
    <w:rsid w:val="00A10120"/>
    <w:rsid w:val="00A1021E"/>
    <w:rsid w:val="00A12205"/>
    <w:rsid w:val="00A1250C"/>
    <w:rsid w:val="00A126E7"/>
    <w:rsid w:val="00A12BD4"/>
    <w:rsid w:val="00A13994"/>
    <w:rsid w:val="00A13B4E"/>
    <w:rsid w:val="00A15827"/>
    <w:rsid w:val="00A15906"/>
    <w:rsid w:val="00A1643A"/>
    <w:rsid w:val="00A1670D"/>
    <w:rsid w:val="00A16C20"/>
    <w:rsid w:val="00A16E3A"/>
    <w:rsid w:val="00A17B29"/>
    <w:rsid w:val="00A207D6"/>
    <w:rsid w:val="00A20A3C"/>
    <w:rsid w:val="00A22767"/>
    <w:rsid w:val="00A23055"/>
    <w:rsid w:val="00A23C04"/>
    <w:rsid w:val="00A256F5"/>
    <w:rsid w:val="00A267B2"/>
    <w:rsid w:val="00A267C7"/>
    <w:rsid w:val="00A27768"/>
    <w:rsid w:val="00A307A2"/>
    <w:rsid w:val="00A3123A"/>
    <w:rsid w:val="00A31E6B"/>
    <w:rsid w:val="00A327ED"/>
    <w:rsid w:val="00A32B64"/>
    <w:rsid w:val="00A33334"/>
    <w:rsid w:val="00A35149"/>
    <w:rsid w:val="00A36C2D"/>
    <w:rsid w:val="00A37739"/>
    <w:rsid w:val="00A37C71"/>
    <w:rsid w:val="00A40BFD"/>
    <w:rsid w:val="00A42709"/>
    <w:rsid w:val="00A446D0"/>
    <w:rsid w:val="00A45436"/>
    <w:rsid w:val="00A46973"/>
    <w:rsid w:val="00A47217"/>
    <w:rsid w:val="00A4767D"/>
    <w:rsid w:val="00A50362"/>
    <w:rsid w:val="00A51238"/>
    <w:rsid w:val="00A51C71"/>
    <w:rsid w:val="00A531A5"/>
    <w:rsid w:val="00A53AA9"/>
    <w:rsid w:val="00A54CDF"/>
    <w:rsid w:val="00A5786D"/>
    <w:rsid w:val="00A57E52"/>
    <w:rsid w:val="00A607C6"/>
    <w:rsid w:val="00A612C0"/>
    <w:rsid w:val="00A613BA"/>
    <w:rsid w:val="00A616F6"/>
    <w:rsid w:val="00A61DEB"/>
    <w:rsid w:val="00A61E04"/>
    <w:rsid w:val="00A61F79"/>
    <w:rsid w:val="00A641D4"/>
    <w:rsid w:val="00A64A4B"/>
    <w:rsid w:val="00A6754C"/>
    <w:rsid w:val="00A67915"/>
    <w:rsid w:val="00A67FD5"/>
    <w:rsid w:val="00A7034C"/>
    <w:rsid w:val="00A7041F"/>
    <w:rsid w:val="00A70AC0"/>
    <w:rsid w:val="00A70D60"/>
    <w:rsid w:val="00A717D7"/>
    <w:rsid w:val="00A71DC4"/>
    <w:rsid w:val="00A72204"/>
    <w:rsid w:val="00A733CD"/>
    <w:rsid w:val="00A73833"/>
    <w:rsid w:val="00A749DD"/>
    <w:rsid w:val="00A74E11"/>
    <w:rsid w:val="00A75289"/>
    <w:rsid w:val="00A761FF"/>
    <w:rsid w:val="00A7788E"/>
    <w:rsid w:val="00A804B6"/>
    <w:rsid w:val="00A81FA9"/>
    <w:rsid w:val="00A83762"/>
    <w:rsid w:val="00A868F5"/>
    <w:rsid w:val="00A87758"/>
    <w:rsid w:val="00A909BC"/>
    <w:rsid w:val="00A9165F"/>
    <w:rsid w:val="00A921EB"/>
    <w:rsid w:val="00A92418"/>
    <w:rsid w:val="00A9294A"/>
    <w:rsid w:val="00A92BE9"/>
    <w:rsid w:val="00A92C0E"/>
    <w:rsid w:val="00A92E0E"/>
    <w:rsid w:val="00A93093"/>
    <w:rsid w:val="00A940F1"/>
    <w:rsid w:val="00A945BC"/>
    <w:rsid w:val="00A94B64"/>
    <w:rsid w:val="00A95018"/>
    <w:rsid w:val="00A95CF6"/>
    <w:rsid w:val="00A97650"/>
    <w:rsid w:val="00A97BC8"/>
    <w:rsid w:val="00AA2366"/>
    <w:rsid w:val="00AA2941"/>
    <w:rsid w:val="00AA31BD"/>
    <w:rsid w:val="00AA592B"/>
    <w:rsid w:val="00AA6F1D"/>
    <w:rsid w:val="00AB06A9"/>
    <w:rsid w:val="00AB104C"/>
    <w:rsid w:val="00AB2DA6"/>
    <w:rsid w:val="00AB2E7F"/>
    <w:rsid w:val="00AB39C4"/>
    <w:rsid w:val="00AB3F5E"/>
    <w:rsid w:val="00AB4ED7"/>
    <w:rsid w:val="00AB50FE"/>
    <w:rsid w:val="00AB532E"/>
    <w:rsid w:val="00AB5551"/>
    <w:rsid w:val="00AB5FC0"/>
    <w:rsid w:val="00AB65AC"/>
    <w:rsid w:val="00AB6AE8"/>
    <w:rsid w:val="00AB73A7"/>
    <w:rsid w:val="00AB7A97"/>
    <w:rsid w:val="00AB7FE0"/>
    <w:rsid w:val="00AC2129"/>
    <w:rsid w:val="00AC29C6"/>
    <w:rsid w:val="00AC2F37"/>
    <w:rsid w:val="00AC2F84"/>
    <w:rsid w:val="00AC3E8B"/>
    <w:rsid w:val="00AC42D7"/>
    <w:rsid w:val="00AC4CA6"/>
    <w:rsid w:val="00AC4CB2"/>
    <w:rsid w:val="00AC5176"/>
    <w:rsid w:val="00AC612B"/>
    <w:rsid w:val="00AC63DA"/>
    <w:rsid w:val="00AC70FC"/>
    <w:rsid w:val="00AD05BA"/>
    <w:rsid w:val="00AD13AF"/>
    <w:rsid w:val="00AD16C2"/>
    <w:rsid w:val="00AD20D0"/>
    <w:rsid w:val="00AD28DB"/>
    <w:rsid w:val="00AD291B"/>
    <w:rsid w:val="00AD2F82"/>
    <w:rsid w:val="00AD434C"/>
    <w:rsid w:val="00AD4550"/>
    <w:rsid w:val="00AD4795"/>
    <w:rsid w:val="00AD52A9"/>
    <w:rsid w:val="00AD5B3B"/>
    <w:rsid w:val="00AD6DF9"/>
    <w:rsid w:val="00AD7A19"/>
    <w:rsid w:val="00AE0162"/>
    <w:rsid w:val="00AE0D62"/>
    <w:rsid w:val="00AE19A2"/>
    <w:rsid w:val="00AE2B4D"/>
    <w:rsid w:val="00AE2E28"/>
    <w:rsid w:val="00AE2F78"/>
    <w:rsid w:val="00AE4157"/>
    <w:rsid w:val="00AE445D"/>
    <w:rsid w:val="00AE5A9B"/>
    <w:rsid w:val="00AE6681"/>
    <w:rsid w:val="00AE6C73"/>
    <w:rsid w:val="00AF0611"/>
    <w:rsid w:val="00AF0CEF"/>
    <w:rsid w:val="00AF11D5"/>
    <w:rsid w:val="00AF1538"/>
    <w:rsid w:val="00AF1E9E"/>
    <w:rsid w:val="00AF4AD7"/>
    <w:rsid w:val="00AF683A"/>
    <w:rsid w:val="00AF6969"/>
    <w:rsid w:val="00AF708D"/>
    <w:rsid w:val="00B00A95"/>
    <w:rsid w:val="00B01105"/>
    <w:rsid w:val="00B0118F"/>
    <w:rsid w:val="00B01FA1"/>
    <w:rsid w:val="00B0254C"/>
    <w:rsid w:val="00B03F5B"/>
    <w:rsid w:val="00B045A3"/>
    <w:rsid w:val="00B0531C"/>
    <w:rsid w:val="00B057A6"/>
    <w:rsid w:val="00B05DC5"/>
    <w:rsid w:val="00B07045"/>
    <w:rsid w:val="00B074FD"/>
    <w:rsid w:val="00B0769C"/>
    <w:rsid w:val="00B07E5F"/>
    <w:rsid w:val="00B12578"/>
    <w:rsid w:val="00B13E18"/>
    <w:rsid w:val="00B14C54"/>
    <w:rsid w:val="00B15AE7"/>
    <w:rsid w:val="00B15E24"/>
    <w:rsid w:val="00B15FF2"/>
    <w:rsid w:val="00B17430"/>
    <w:rsid w:val="00B17BB9"/>
    <w:rsid w:val="00B20534"/>
    <w:rsid w:val="00B21F91"/>
    <w:rsid w:val="00B2244E"/>
    <w:rsid w:val="00B22552"/>
    <w:rsid w:val="00B2370B"/>
    <w:rsid w:val="00B2397D"/>
    <w:rsid w:val="00B23A46"/>
    <w:rsid w:val="00B25AE0"/>
    <w:rsid w:val="00B25B02"/>
    <w:rsid w:val="00B25B38"/>
    <w:rsid w:val="00B25E63"/>
    <w:rsid w:val="00B2790C"/>
    <w:rsid w:val="00B2797A"/>
    <w:rsid w:val="00B27BA2"/>
    <w:rsid w:val="00B27BE0"/>
    <w:rsid w:val="00B27EE3"/>
    <w:rsid w:val="00B30365"/>
    <w:rsid w:val="00B306AB"/>
    <w:rsid w:val="00B30F6C"/>
    <w:rsid w:val="00B315BA"/>
    <w:rsid w:val="00B3161D"/>
    <w:rsid w:val="00B31631"/>
    <w:rsid w:val="00B320F8"/>
    <w:rsid w:val="00B32F07"/>
    <w:rsid w:val="00B331F5"/>
    <w:rsid w:val="00B335D2"/>
    <w:rsid w:val="00B34451"/>
    <w:rsid w:val="00B348F6"/>
    <w:rsid w:val="00B34C0D"/>
    <w:rsid w:val="00B352B9"/>
    <w:rsid w:val="00B3548B"/>
    <w:rsid w:val="00B3566C"/>
    <w:rsid w:val="00B36BB7"/>
    <w:rsid w:val="00B36F49"/>
    <w:rsid w:val="00B378A5"/>
    <w:rsid w:val="00B37FE1"/>
    <w:rsid w:val="00B41B67"/>
    <w:rsid w:val="00B431D4"/>
    <w:rsid w:val="00B437B8"/>
    <w:rsid w:val="00B46584"/>
    <w:rsid w:val="00B465D8"/>
    <w:rsid w:val="00B4672B"/>
    <w:rsid w:val="00B475BA"/>
    <w:rsid w:val="00B475E1"/>
    <w:rsid w:val="00B50494"/>
    <w:rsid w:val="00B5127A"/>
    <w:rsid w:val="00B516D6"/>
    <w:rsid w:val="00B517AF"/>
    <w:rsid w:val="00B51B56"/>
    <w:rsid w:val="00B51BD8"/>
    <w:rsid w:val="00B53058"/>
    <w:rsid w:val="00B53CBB"/>
    <w:rsid w:val="00B544C0"/>
    <w:rsid w:val="00B544F2"/>
    <w:rsid w:val="00B562A9"/>
    <w:rsid w:val="00B577A1"/>
    <w:rsid w:val="00B57A4B"/>
    <w:rsid w:val="00B57E3A"/>
    <w:rsid w:val="00B57E9D"/>
    <w:rsid w:val="00B603A3"/>
    <w:rsid w:val="00B603BE"/>
    <w:rsid w:val="00B603C7"/>
    <w:rsid w:val="00B621F0"/>
    <w:rsid w:val="00B62567"/>
    <w:rsid w:val="00B63285"/>
    <w:rsid w:val="00B638E9"/>
    <w:rsid w:val="00B639C5"/>
    <w:rsid w:val="00B6538E"/>
    <w:rsid w:val="00B659F4"/>
    <w:rsid w:val="00B66C26"/>
    <w:rsid w:val="00B6712B"/>
    <w:rsid w:val="00B6732D"/>
    <w:rsid w:val="00B70452"/>
    <w:rsid w:val="00B708DE"/>
    <w:rsid w:val="00B70A6F"/>
    <w:rsid w:val="00B70CB7"/>
    <w:rsid w:val="00B70E26"/>
    <w:rsid w:val="00B72CEE"/>
    <w:rsid w:val="00B73126"/>
    <w:rsid w:val="00B7355B"/>
    <w:rsid w:val="00B73E5A"/>
    <w:rsid w:val="00B74532"/>
    <w:rsid w:val="00B74E94"/>
    <w:rsid w:val="00B751EF"/>
    <w:rsid w:val="00B76E73"/>
    <w:rsid w:val="00B8196F"/>
    <w:rsid w:val="00B82802"/>
    <w:rsid w:val="00B828EA"/>
    <w:rsid w:val="00B83364"/>
    <w:rsid w:val="00B833FC"/>
    <w:rsid w:val="00B836E4"/>
    <w:rsid w:val="00B85089"/>
    <w:rsid w:val="00B854A4"/>
    <w:rsid w:val="00B87746"/>
    <w:rsid w:val="00B8798D"/>
    <w:rsid w:val="00B87BE8"/>
    <w:rsid w:val="00B910D3"/>
    <w:rsid w:val="00B91667"/>
    <w:rsid w:val="00B916B9"/>
    <w:rsid w:val="00B916D0"/>
    <w:rsid w:val="00B91897"/>
    <w:rsid w:val="00B92045"/>
    <w:rsid w:val="00B924BD"/>
    <w:rsid w:val="00B92617"/>
    <w:rsid w:val="00B92BEE"/>
    <w:rsid w:val="00B93B44"/>
    <w:rsid w:val="00B953D3"/>
    <w:rsid w:val="00B95554"/>
    <w:rsid w:val="00B95C76"/>
    <w:rsid w:val="00B969A8"/>
    <w:rsid w:val="00BA0075"/>
    <w:rsid w:val="00BA1CB3"/>
    <w:rsid w:val="00BA2336"/>
    <w:rsid w:val="00BA42F8"/>
    <w:rsid w:val="00BA4365"/>
    <w:rsid w:val="00BA5482"/>
    <w:rsid w:val="00BA5650"/>
    <w:rsid w:val="00BA5B3A"/>
    <w:rsid w:val="00BA6165"/>
    <w:rsid w:val="00BB02FE"/>
    <w:rsid w:val="00BB0363"/>
    <w:rsid w:val="00BB097A"/>
    <w:rsid w:val="00BB1B40"/>
    <w:rsid w:val="00BB20C3"/>
    <w:rsid w:val="00BB3F40"/>
    <w:rsid w:val="00BB497D"/>
    <w:rsid w:val="00BB4F28"/>
    <w:rsid w:val="00BB5639"/>
    <w:rsid w:val="00BB5A88"/>
    <w:rsid w:val="00BB6AD8"/>
    <w:rsid w:val="00BB71B7"/>
    <w:rsid w:val="00BB729E"/>
    <w:rsid w:val="00BB76BF"/>
    <w:rsid w:val="00BC115C"/>
    <w:rsid w:val="00BC1B5F"/>
    <w:rsid w:val="00BC2383"/>
    <w:rsid w:val="00BC3506"/>
    <w:rsid w:val="00BC3654"/>
    <w:rsid w:val="00BC3C55"/>
    <w:rsid w:val="00BC4968"/>
    <w:rsid w:val="00BC4DEB"/>
    <w:rsid w:val="00BC5B00"/>
    <w:rsid w:val="00BC63D2"/>
    <w:rsid w:val="00BC654A"/>
    <w:rsid w:val="00BC697E"/>
    <w:rsid w:val="00BC78A8"/>
    <w:rsid w:val="00BD04E4"/>
    <w:rsid w:val="00BD060E"/>
    <w:rsid w:val="00BD089F"/>
    <w:rsid w:val="00BD10AC"/>
    <w:rsid w:val="00BD12D7"/>
    <w:rsid w:val="00BD14E6"/>
    <w:rsid w:val="00BD1B0D"/>
    <w:rsid w:val="00BD28AD"/>
    <w:rsid w:val="00BD349E"/>
    <w:rsid w:val="00BD3E00"/>
    <w:rsid w:val="00BD670E"/>
    <w:rsid w:val="00BD6A5C"/>
    <w:rsid w:val="00BD6AE3"/>
    <w:rsid w:val="00BD6D46"/>
    <w:rsid w:val="00BD72C2"/>
    <w:rsid w:val="00BD7342"/>
    <w:rsid w:val="00BD7A79"/>
    <w:rsid w:val="00BE00D6"/>
    <w:rsid w:val="00BE0437"/>
    <w:rsid w:val="00BE0AC9"/>
    <w:rsid w:val="00BE1337"/>
    <w:rsid w:val="00BE250A"/>
    <w:rsid w:val="00BE2A10"/>
    <w:rsid w:val="00BE2C24"/>
    <w:rsid w:val="00BE2DEC"/>
    <w:rsid w:val="00BE41F4"/>
    <w:rsid w:val="00BE48BB"/>
    <w:rsid w:val="00BE4AC7"/>
    <w:rsid w:val="00BE6E1A"/>
    <w:rsid w:val="00BE786A"/>
    <w:rsid w:val="00BF0364"/>
    <w:rsid w:val="00BF09CD"/>
    <w:rsid w:val="00BF0DE8"/>
    <w:rsid w:val="00BF1220"/>
    <w:rsid w:val="00BF1325"/>
    <w:rsid w:val="00BF1D0A"/>
    <w:rsid w:val="00BF28BB"/>
    <w:rsid w:val="00BF4A44"/>
    <w:rsid w:val="00BF51E1"/>
    <w:rsid w:val="00BF7288"/>
    <w:rsid w:val="00BF72BA"/>
    <w:rsid w:val="00C01FED"/>
    <w:rsid w:val="00C02029"/>
    <w:rsid w:val="00C02920"/>
    <w:rsid w:val="00C0403C"/>
    <w:rsid w:val="00C041BB"/>
    <w:rsid w:val="00C04550"/>
    <w:rsid w:val="00C05CC5"/>
    <w:rsid w:val="00C0617E"/>
    <w:rsid w:val="00C06B15"/>
    <w:rsid w:val="00C06DDD"/>
    <w:rsid w:val="00C06E46"/>
    <w:rsid w:val="00C06F99"/>
    <w:rsid w:val="00C07CB2"/>
    <w:rsid w:val="00C07F16"/>
    <w:rsid w:val="00C101D9"/>
    <w:rsid w:val="00C1119A"/>
    <w:rsid w:val="00C11BE5"/>
    <w:rsid w:val="00C12CF8"/>
    <w:rsid w:val="00C13568"/>
    <w:rsid w:val="00C135ED"/>
    <w:rsid w:val="00C138EF"/>
    <w:rsid w:val="00C13A18"/>
    <w:rsid w:val="00C13C2A"/>
    <w:rsid w:val="00C14ED0"/>
    <w:rsid w:val="00C150FE"/>
    <w:rsid w:val="00C15F27"/>
    <w:rsid w:val="00C16C6F"/>
    <w:rsid w:val="00C1798E"/>
    <w:rsid w:val="00C20DD3"/>
    <w:rsid w:val="00C215E5"/>
    <w:rsid w:val="00C217AE"/>
    <w:rsid w:val="00C22327"/>
    <w:rsid w:val="00C23309"/>
    <w:rsid w:val="00C23767"/>
    <w:rsid w:val="00C24121"/>
    <w:rsid w:val="00C24CB2"/>
    <w:rsid w:val="00C24FA3"/>
    <w:rsid w:val="00C25120"/>
    <w:rsid w:val="00C26179"/>
    <w:rsid w:val="00C263D4"/>
    <w:rsid w:val="00C26FEB"/>
    <w:rsid w:val="00C2712D"/>
    <w:rsid w:val="00C27804"/>
    <w:rsid w:val="00C30175"/>
    <w:rsid w:val="00C30206"/>
    <w:rsid w:val="00C309A5"/>
    <w:rsid w:val="00C31BD7"/>
    <w:rsid w:val="00C3288A"/>
    <w:rsid w:val="00C328AE"/>
    <w:rsid w:val="00C33638"/>
    <w:rsid w:val="00C33802"/>
    <w:rsid w:val="00C33FA9"/>
    <w:rsid w:val="00C34534"/>
    <w:rsid w:val="00C345B4"/>
    <w:rsid w:val="00C353D3"/>
    <w:rsid w:val="00C3643C"/>
    <w:rsid w:val="00C366DE"/>
    <w:rsid w:val="00C36A1A"/>
    <w:rsid w:val="00C37137"/>
    <w:rsid w:val="00C37942"/>
    <w:rsid w:val="00C37957"/>
    <w:rsid w:val="00C379A5"/>
    <w:rsid w:val="00C37D11"/>
    <w:rsid w:val="00C41DA2"/>
    <w:rsid w:val="00C42816"/>
    <w:rsid w:val="00C42ECB"/>
    <w:rsid w:val="00C4318A"/>
    <w:rsid w:val="00C43408"/>
    <w:rsid w:val="00C44978"/>
    <w:rsid w:val="00C44CA9"/>
    <w:rsid w:val="00C4619B"/>
    <w:rsid w:val="00C47DAB"/>
    <w:rsid w:val="00C50377"/>
    <w:rsid w:val="00C503D6"/>
    <w:rsid w:val="00C513F8"/>
    <w:rsid w:val="00C51C1C"/>
    <w:rsid w:val="00C53896"/>
    <w:rsid w:val="00C53945"/>
    <w:rsid w:val="00C53E8C"/>
    <w:rsid w:val="00C547AC"/>
    <w:rsid w:val="00C548A3"/>
    <w:rsid w:val="00C54DF0"/>
    <w:rsid w:val="00C5565D"/>
    <w:rsid w:val="00C578FE"/>
    <w:rsid w:val="00C6028D"/>
    <w:rsid w:val="00C61E63"/>
    <w:rsid w:val="00C62905"/>
    <w:rsid w:val="00C637D7"/>
    <w:rsid w:val="00C6425B"/>
    <w:rsid w:val="00C66858"/>
    <w:rsid w:val="00C66A4A"/>
    <w:rsid w:val="00C676FC"/>
    <w:rsid w:val="00C7031A"/>
    <w:rsid w:val="00C70603"/>
    <w:rsid w:val="00C70DA8"/>
    <w:rsid w:val="00C71AA3"/>
    <w:rsid w:val="00C729F2"/>
    <w:rsid w:val="00C72CF8"/>
    <w:rsid w:val="00C73EEA"/>
    <w:rsid w:val="00C74314"/>
    <w:rsid w:val="00C747F1"/>
    <w:rsid w:val="00C7580A"/>
    <w:rsid w:val="00C7581A"/>
    <w:rsid w:val="00C75ACF"/>
    <w:rsid w:val="00C76517"/>
    <w:rsid w:val="00C770B7"/>
    <w:rsid w:val="00C776DD"/>
    <w:rsid w:val="00C77C68"/>
    <w:rsid w:val="00C80C30"/>
    <w:rsid w:val="00C815AB"/>
    <w:rsid w:val="00C81C2C"/>
    <w:rsid w:val="00C82254"/>
    <w:rsid w:val="00C83D85"/>
    <w:rsid w:val="00C83EDB"/>
    <w:rsid w:val="00C83FCB"/>
    <w:rsid w:val="00C84D2B"/>
    <w:rsid w:val="00C86197"/>
    <w:rsid w:val="00C8655E"/>
    <w:rsid w:val="00C8668B"/>
    <w:rsid w:val="00C9069C"/>
    <w:rsid w:val="00C90E34"/>
    <w:rsid w:val="00C915B7"/>
    <w:rsid w:val="00C915BC"/>
    <w:rsid w:val="00C91AEF"/>
    <w:rsid w:val="00C92200"/>
    <w:rsid w:val="00C9247D"/>
    <w:rsid w:val="00C92FFF"/>
    <w:rsid w:val="00C93909"/>
    <w:rsid w:val="00C94AE8"/>
    <w:rsid w:val="00C94F13"/>
    <w:rsid w:val="00CA01EC"/>
    <w:rsid w:val="00CA15E4"/>
    <w:rsid w:val="00CA40C3"/>
    <w:rsid w:val="00CA41F6"/>
    <w:rsid w:val="00CA44DE"/>
    <w:rsid w:val="00CA55E3"/>
    <w:rsid w:val="00CA65B4"/>
    <w:rsid w:val="00CA6EB0"/>
    <w:rsid w:val="00CA6ED5"/>
    <w:rsid w:val="00CA77D2"/>
    <w:rsid w:val="00CA781D"/>
    <w:rsid w:val="00CA7C15"/>
    <w:rsid w:val="00CB1FC3"/>
    <w:rsid w:val="00CB3612"/>
    <w:rsid w:val="00CB3F29"/>
    <w:rsid w:val="00CB41EC"/>
    <w:rsid w:val="00CB463A"/>
    <w:rsid w:val="00CB763F"/>
    <w:rsid w:val="00CC00BD"/>
    <w:rsid w:val="00CC0771"/>
    <w:rsid w:val="00CC0887"/>
    <w:rsid w:val="00CC18C6"/>
    <w:rsid w:val="00CC2103"/>
    <w:rsid w:val="00CC2838"/>
    <w:rsid w:val="00CC43BC"/>
    <w:rsid w:val="00CC4CAE"/>
    <w:rsid w:val="00CC5694"/>
    <w:rsid w:val="00CC5BC3"/>
    <w:rsid w:val="00CC654A"/>
    <w:rsid w:val="00CC6A06"/>
    <w:rsid w:val="00CC74D0"/>
    <w:rsid w:val="00CC77BE"/>
    <w:rsid w:val="00CD040E"/>
    <w:rsid w:val="00CD3FAF"/>
    <w:rsid w:val="00CD4A27"/>
    <w:rsid w:val="00CD4E38"/>
    <w:rsid w:val="00CD768A"/>
    <w:rsid w:val="00CD78A1"/>
    <w:rsid w:val="00CD78C3"/>
    <w:rsid w:val="00CD7B04"/>
    <w:rsid w:val="00CE106E"/>
    <w:rsid w:val="00CE3094"/>
    <w:rsid w:val="00CE3E34"/>
    <w:rsid w:val="00CE4A58"/>
    <w:rsid w:val="00CE5AD4"/>
    <w:rsid w:val="00CE6721"/>
    <w:rsid w:val="00CE7973"/>
    <w:rsid w:val="00CE7BB2"/>
    <w:rsid w:val="00CF00F0"/>
    <w:rsid w:val="00CF07A2"/>
    <w:rsid w:val="00CF13DD"/>
    <w:rsid w:val="00CF1618"/>
    <w:rsid w:val="00CF1DBD"/>
    <w:rsid w:val="00CF2AB3"/>
    <w:rsid w:val="00CF3016"/>
    <w:rsid w:val="00CF37FD"/>
    <w:rsid w:val="00CF4379"/>
    <w:rsid w:val="00CF6ACA"/>
    <w:rsid w:val="00CF6FE9"/>
    <w:rsid w:val="00CF7F2C"/>
    <w:rsid w:val="00D01FF9"/>
    <w:rsid w:val="00D053A7"/>
    <w:rsid w:val="00D06520"/>
    <w:rsid w:val="00D0671D"/>
    <w:rsid w:val="00D072CC"/>
    <w:rsid w:val="00D0789D"/>
    <w:rsid w:val="00D07ABA"/>
    <w:rsid w:val="00D07DDF"/>
    <w:rsid w:val="00D12A0F"/>
    <w:rsid w:val="00D137A9"/>
    <w:rsid w:val="00D13A15"/>
    <w:rsid w:val="00D13B10"/>
    <w:rsid w:val="00D14974"/>
    <w:rsid w:val="00D15E1D"/>
    <w:rsid w:val="00D162C9"/>
    <w:rsid w:val="00D17A4E"/>
    <w:rsid w:val="00D2014E"/>
    <w:rsid w:val="00D214FC"/>
    <w:rsid w:val="00D215F1"/>
    <w:rsid w:val="00D2295C"/>
    <w:rsid w:val="00D239CC"/>
    <w:rsid w:val="00D23AA5"/>
    <w:rsid w:val="00D23C55"/>
    <w:rsid w:val="00D2574E"/>
    <w:rsid w:val="00D267FC"/>
    <w:rsid w:val="00D271C3"/>
    <w:rsid w:val="00D27D3D"/>
    <w:rsid w:val="00D27D7F"/>
    <w:rsid w:val="00D30051"/>
    <w:rsid w:val="00D30602"/>
    <w:rsid w:val="00D30ACB"/>
    <w:rsid w:val="00D323E0"/>
    <w:rsid w:val="00D32B99"/>
    <w:rsid w:val="00D33228"/>
    <w:rsid w:val="00D336B8"/>
    <w:rsid w:val="00D33A34"/>
    <w:rsid w:val="00D33C76"/>
    <w:rsid w:val="00D34451"/>
    <w:rsid w:val="00D34B05"/>
    <w:rsid w:val="00D34B77"/>
    <w:rsid w:val="00D3500B"/>
    <w:rsid w:val="00D37109"/>
    <w:rsid w:val="00D37B80"/>
    <w:rsid w:val="00D4122D"/>
    <w:rsid w:val="00D428DC"/>
    <w:rsid w:val="00D4301D"/>
    <w:rsid w:val="00D43669"/>
    <w:rsid w:val="00D4502A"/>
    <w:rsid w:val="00D45F5D"/>
    <w:rsid w:val="00D4699E"/>
    <w:rsid w:val="00D46C2D"/>
    <w:rsid w:val="00D46C33"/>
    <w:rsid w:val="00D47772"/>
    <w:rsid w:val="00D5002A"/>
    <w:rsid w:val="00D50077"/>
    <w:rsid w:val="00D50717"/>
    <w:rsid w:val="00D50DE9"/>
    <w:rsid w:val="00D51601"/>
    <w:rsid w:val="00D51734"/>
    <w:rsid w:val="00D51956"/>
    <w:rsid w:val="00D521EC"/>
    <w:rsid w:val="00D52ED2"/>
    <w:rsid w:val="00D52EFE"/>
    <w:rsid w:val="00D54451"/>
    <w:rsid w:val="00D54B54"/>
    <w:rsid w:val="00D54EFA"/>
    <w:rsid w:val="00D5536E"/>
    <w:rsid w:val="00D55C09"/>
    <w:rsid w:val="00D55E86"/>
    <w:rsid w:val="00D56075"/>
    <w:rsid w:val="00D563C5"/>
    <w:rsid w:val="00D56BEB"/>
    <w:rsid w:val="00D56E2E"/>
    <w:rsid w:val="00D56FD1"/>
    <w:rsid w:val="00D60841"/>
    <w:rsid w:val="00D609A5"/>
    <w:rsid w:val="00D60A68"/>
    <w:rsid w:val="00D629C2"/>
    <w:rsid w:val="00D63056"/>
    <w:rsid w:val="00D63DDE"/>
    <w:rsid w:val="00D63E61"/>
    <w:rsid w:val="00D645F3"/>
    <w:rsid w:val="00D6491A"/>
    <w:rsid w:val="00D64A01"/>
    <w:rsid w:val="00D65485"/>
    <w:rsid w:val="00D66F53"/>
    <w:rsid w:val="00D67059"/>
    <w:rsid w:val="00D673BA"/>
    <w:rsid w:val="00D679E0"/>
    <w:rsid w:val="00D67B1F"/>
    <w:rsid w:val="00D7111F"/>
    <w:rsid w:val="00D715F1"/>
    <w:rsid w:val="00D71E0A"/>
    <w:rsid w:val="00D728F0"/>
    <w:rsid w:val="00D72E8C"/>
    <w:rsid w:val="00D73604"/>
    <w:rsid w:val="00D738B4"/>
    <w:rsid w:val="00D73DCA"/>
    <w:rsid w:val="00D76170"/>
    <w:rsid w:val="00D80F3B"/>
    <w:rsid w:val="00D8120C"/>
    <w:rsid w:val="00D81E3A"/>
    <w:rsid w:val="00D828FA"/>
    <w:rsid w:val="00D82DF8"/>
    <w:rsid w:val="00D834C3"/>
    <w:rsid w:val="00D844F5"/>
    <w:rsid w:val="00D85D29"/>
    <w:rsid w:val="00D86095"/>
    <w:rsid w:val="00D9104C"/>
    <w:rsid w:val="00D911AE"/>
    <w:rsid w:val="00D92662"/>
    <w:rsid w:val="00D92A3C"/>
    <w:rsid w:val="00D9312A"/>
    <w:rsid w:val="00D93FEE"/>
    <w:rsid w:val="00D942FB"/>
    <w:rsid w:val="00D951CE"/>
    <w:rsid w:val="00D95873"/>
    <w:rsid w:val="00D97393"/>
    <w:rsid w:val="00D97E8E"/>
    <w:rsid w:val="00D97FF4"/>
    <w:rsid w:val="00DA0468"/>
    <w:rsid w:val="00DA0778"/>
    <w:rsid w:val="00DA07B8"/>
    <w:rsid w:val="00DA0D0A"/>
    <w:rsid w:val="00DA137C"/>
    <w:rsid w:val="00DA1E1B"/>
    <w:rsid w:val="00DA3C12"/>
    <w:rsid w:val="00DA4032"/>
    <w:rsid w:val="00DA4364"/>
    <w:rsid w:val="00DA4421"/>
    <w:rsid w:val="00DA4909"/>
    <w:rsid w:val="00DA5556"/>
    <w:rsid w:val="00DA65D8"/>
    <w:rsid w:val="00DA6650"/>
    <w:rsid w:val="00DA6987"/>
    <w:rsid w:val="00DA6C7F"/>
    <w:rsid w:val="00DA6D6D"/>
    <w:rsid w:val="00DA7421"/>
    <w:rsid w:val="00DA744B"/>
    <w:rsid w:val="00DA7D35"/>
    <w:rsid w:val="00DB0253"/>
    <w:rsid w:val="00DB08F9"/>
    <w:rsid w:val="00DB1C78"/>
    <w:rsid w:val="00DB1DA4"/>
    <w:rsid w:val="00DB1DAB"/>
    <w:rsid w:val="00DB27DF"/>
    <w:rsid w:val="00DB2CA0"/>
    <w:rsid w:val="00DB3494"/>
    <w:rsid w:val="00DB4161"/>
    <w:rsid w:val="00DB4215"/>
    <w:rsid w:val="00DB4323"/>
    <w:rsid w:val="00DB4410"/>
    <w:rsid w:val="00DB4C11"/>
    <w:rsid w:val="00DB4F5A"/>
    <w:rsid w:val="00DB5332"/>
    <w:rsid w:val="00DB638D"/>
    <w:rsid w:val="00DB6629"/>
    <w:rsid w:val="00DB7591"/>
    <w:rsid w:val="00DB7DC7"/>
    <w:rsid w:val="00DC16DA"/>
    <w:rsid w:val="00DC36B8"/>
    <w:rsid w:val="00DC3C57"/>
    <w:rsid w:val="00DC49ED"/>
    <w:rsid w:val="00DC4ACE"/>
    <w:rsid w:val="00DC771F"/>
    <w:rsid w:val="00DC7A58"/>
    <w:rsid w:val="00DC7FA5"/>
    <w:rsid w:val="00DD07B0"/>
    <w:rsid w:val="00DD0F14"/>
    <w:rsid w:val="00DD25D3"/>
    <w:rsid w:val="00DD40C8"/>
    <w:rsid w:val="00DD4342"/>
    <w:rsid w:val="00DD581E"/>
    <w:rsid w:val="00DD6171"/>
    <w:rsid w:val="00DD711A"/>
    <w:rsid w:val="00DD7FF9"/>
    <w:rsid w:val="00DE11BB"/>
    <w:rsid w:val="00DE13A3"/>
    <w:rsid w:val="00DE1981"/>
    <w:rsid w:val="00DE19A1"/>
    <w:rsid w:val="00DE1AC2"/>
    <w:rsid w:val="00DE5A08"/>
    <w:rsid w:val="00DE5F4C"/>
    <w:rsid w:val="00DF081C"/>
    <w:rsid w:val="00DF0D3E"/>
    <w:rsid w:val="00DF17C8"/>
    <w:rsid w:val="00DF1889"/>
    <w:rsid w:val="00DF1C0A"/>
    <w:rsid w:val="00DF2C3C"/>
    <w:rsid w:val="00DF3269"/>
    <w:rsid w:val="00DF34C1"/>
    <w:rsid w:val="00DF3FC8"/>
    <w:rsid w:val="00DF47C5"/>
    <w:rsid w:val="00DF48A9"/>
    <w:rsid w:val="00DF5FF9"/>
    <w:rsid w:val="00DF75F1"/>
    <w:rsid w:val="00DF791B"/>
    <w:rsid w:val="00DF7B29"/>
    <w:rsid w:val="00DF7BBF"/>
    <w:rsid w:val="00E0087D"/>
    <w:rsid w:val="00E00EE6"/>
    <w:rsid w:val="00E01201"/>
    <w:rsid w:val="00E02C39"/>
    <w:rsid w:val="00E03D2C"/>
    <w:rsid w:val="00E04177"/>
    <w:rsid w:val="00E044B0"/>
    <w:rsid w:val="00E04EA4"/>
    <w:rsid w:val="00E05050"/>
    <w:rsid w:val="00E05B01"/>
    <w:rsid w:val="00E06734"/>
    <w:rsid w:val="00E07489"/>
    <w:rsid w:val="00E074F8"/>
    <w:rsid w:val="00E07B06"/>
    <w:rsid w:val="00E10AAF"/>
    <w:rsid w:val="00E12020"/>
    <w:rsid w:val="00E135E6"/>
    <w:rsid w:val="00E13944"/>
    <w:rsid w:val="00E15EE4"/>
    <w:rsid w:val="00E1632E"/>
    <w:rsid w:val="00E16DC9"/>
    <w:rsid w:val="00E1766C"/>
    <w:rsid w:val="00E17BE7"/>
    <w:rsid w:val="00E208D5"/>
    <w:rsid w:val="00E2165A"/>
    <w:rsid w:val="00E223F8"/>
    <w:rsid w:val="00E23168"/>
    <w:rsid w:val="00E2352A"/>
    <w:rsid w:val="00E2584B"/>
    <w:rsid w:val="00E25E34"/>
    <w:rsid w:val="00E262B8"/>
    <w:rsid w:val="00E27E2D"/>
    <w:rsid w:val="00E30A82"/>
    <w:rsid w:val="00E30E2A"/>
    <w:rsid w:val="00E35A89"/>
    <w:rsid w:val="00E35C02"/>
    <w:rsid w:val="00E36500"/>
    <w:rsid w:val="00E376CA"/>
    <w:rsid w:val="00E40011"/>
    <w:rsid w:val="00E40017"/>
    <w:rsid w:val="00E40BCE"/>
    <w:rsid w:val="00E4194C"/>
    <w:rsid w:val="00E41D04"/>
    <w:rsid w:val="00E41FD8"/>
    <w:rsid w:val="00E42509"/>
    <w:rsid w:val="00E429DC"/>
    <w:rsid w:val="00E42B24"/>
    <w:rsid w:val="00E42D97"/>
    <w:rsid w:val="00E436F4"/>
    <w:rsid w:val="00E43BB2"/>
    <w:rsid w:val="00E4412A"/>
    <w:rsid w:val="00E459B8"/>
    <w:rsid w:val="00E45B40"/>
    <w:rsid w:val="00E46933"/>
    <w:rsid w:val="00E50C42"/>
    <w:rsid w:val="00E50E57"/>
    <w:rsid w:val="00E51722"/>
    <w:rsid w:val="00E51C75"/>
    <w:rsid w:val="00E520AC"/>
    <w:rsid w:val="00E52822"/>
    <w:rsid w:val="00E52CCC"/>
    <w:rsid w:val="00E52D53"/>
    <w:rsid w:val="00E53023"/>
    <w:rsid w:val="00E5328A"/>
    <w:rsid w:val="00E54305"/>
    <w:rsid w:val="00E5442B"/>
    <w:rsid w:val="00E55DF2"/>
    <w:rsid w:val="00E567F2"/>
    <w:rsid w:val="00E56BD0"/>
    <w:rsid w:val="00E57A76"/>
    <w:rsid w:val="00E614E5"/>
    <w:rsid w:val="00E61FC1"/>
    <w:rsid w:val="00E621BF"/>
    <w:rsid w:val="00E62445"/>
    <w:rsid w:val="00E6457B"/>
    <w:rsid w:val="00E65E94"/>
    <w:rsid w:val="00E66E5B"/>
    <w:rsid w:val="00E713DC"/>
    <w:rsid w:val="00E72193"/>
    <w:rsid w:val="00E73B92"/>
    <w:rsid w:val="00E7417D"/>
    <w:rsid w:val="00E7521D"/>
    <w:rsid w:val="00E761D0"/>
    <w:rsid w:val="00E766B6"/>
    <w:rsid w:val="00E7671A"/>
    <w:rsid w:val="00E77251"/>
    <w:rsid w:val="00E77C00"/>
    <w:rsid w:val="00E77D92"/>
    <w:rsid w:val="00E80082"/>
    <w:rsid w:val="00E80B74"/>
    <w:rsid w:val="00E80D21"/>
    <w:rsid w:val="00E81369"/>
    <w:rsid w:val="00E8266E"/>
    <w:rsid w:val="00E842ED"/>
    <w:rsid w:val="00E850D7"/>
    <w:rsid w:val="00E87D8E"/>
    <w:rsid w:val="00E9146D"/>
    <w:rsid w:val="00E91496"/>
    <w:rsid w:val="00E92963"/>
    <w:rsid w:val="00E92AB4"/>
    <w:rsid w:val="00E92E03"/>
    <w:rsid w:val="00E933C1"/>
    <w:rsid w:val="00E9361A"/>
    <w:rsid w:val="00E939BF"/>
    <w:rsid w:val="00E9469F"/>
    <w:rsid w:val="00E965FB"/>
    <w:rsid w:val="00EA088E"/>
    <w:rsid w:val="00EA0DE8"/>
    <w:rsid w:val="00EA1152"/>
    <w:rsid w:val="00EA12E6"/>
    <w:rsid w:val="00EA16B4"/>
    <w:rsid w:val="00EA3766"/>
    <w:rsid w:val="00EA4E32"/>
    <w:rsid w:val="00EA53E2"/>
    <w:rsid w:val="00EA64B6"/>
    <w:rsid w:val="00EA67E9"/>
    <w:rsid w:val="00EA7295"/>
    <w:rsid w:val="00EA7777"/>
    <w:rsid w:val="00EB0809"/>
    <w:rsid w:val="00EB0DC9"/>
    <w:rsid w:val="00EB113A"/>
    <w:rsid w:val="00EB1167"/>
    <w:rsid w:val="00EB1AE5"/>
    <w:rsid w:val="00EB2C4E"/>
    <w:rsid w:val="00EB5B92"/>
    <w:rsid w:val="00EB5C3E"/>
    <w:rsid w:val="00EB73BE"/>
    <w:rsid w:val="00EB7740"/>
    <w:rsid w:val="00EB7B2D"/>
    <w:rsid w:val="00EC0362"/>
    <w:rsid w:val="00EC0384"/>
    <w:rsid w:val="00EC30C2"/>
    <w:rsid w:val="00EC3411"/>
    <w:rsid w:val="00EC3828"/>
    <w:rsid w:val="00EC5DBF"/>
    <w:rsid w:val="00EC705F"/>
    <w:rsid w:val="00ED1841"/>
    <w:rsid w:val="00ED2395"/>
    <w:rsid w:val="00ED28AE"/>
    <w:rsid w:val="00ED3CCF"/>
    <w:rsid w:val="00ED3EFB"/>
    <w:rsid w:val="00ED4B77"/>
    <w:rsid w:val="00ED4C86"/>
    <w:rsid w:val="00ED544D"/>
    <w:rsid w:val="00ED6EA7"/>
    <w:rsid w:val="00ED77C6"/>
    <w:rsid w:val="00ED78C4"/>
    <w:rsid w:val="00EE027B"/>
    <w:rsid w:val="00EE041D"/>
    <w:rsid w:val="00EE22EC"/>
    <w:rsid w:val="00EE252B"/>
    <w:rsid w:val="00EE2838"/>
    <w:rsid w:val="00EE2F8A"/>
    <w:rsid w:val="00EE3FE1"/>
    <w:rsid w:val="00EE446C"/>
    <w:rsid w:val="00EE71A3"/>
    <w:rsid w:val="00EE7377"/>
    <w:rsid w:val="00EE7584"/>
    <w:rsid w:val="00EF13C7"/>
    <w:rsid w:val="00EF14E3"/>
    <w:rsid w:val="00EF15FD"/>
    <w:rsid w:val="00EF20A3"/>
    <w:rsid w:val="00EF34E0"/>
    <w:rsid w:val="00EF3838"/>
    <w:rsid w:val="00EF4FC7"/>
    <w:rsid w:val="00EF6C5A"/>
    <w:rsid w:val="00EF6E6A"/>
    <w:rsid w:val="00F00165"/>
    <w:rsid w:val="00F00486"/>
    <w:rsid w:val="00F00F36"/>
    <w:rsid w:val="00F00FAD"/>
    <w:rsid w:val="00F02BBC"/>
    <w:rsid w:val="00F02CC0"/>
    <w:rsid w:val="00F0316F"/>
    <w:rsid w:val="00F03818"/>
    <w:rsid w:val="00F03C35"/>
    <w:rsid w:val="00F05635"/>
    <w:rsid w:val="00F0641F"/>
    <w:rsid w:val="00F06E6A"/>
    <w:rsid w:val="00F1007F"/>
    <w:rsid w:val="00F11794"/>
    <w:rsid w:val="00F12C6C"/>
    <w:rsid w:val="00F1313B"/>
    <w:rsid w:val="00F1404D"/>
    <w:rsid w:val="00F1514A"/>
    <w:rsid w:val="00F155A4"/>
    <w:rsid w:val="00F15F02"/>
    <w:rsid w:val="00F16A57"/>
    <w:rsid w:val="00F177A1"/>
    <w:rsid w:val="00F2175A"/>
    <w:rsid w:val="00F21775"/>
    <w:rsid w:val="00F21878"/>
    <w:rsid w:val="00F2196C"/>
    <w:rsid w:val="00F21FA7"/>
    <w:rsid w:val="00F23E85"/>
    <w:rsid w:val="00F23E8A"/>
    <w:rsid w:val="00F23EB7"/>
    <w:rsid w:val="00F2416B"/>
    <w:rsid w:val="00F24C0C"/>
    <w:rsid w:val="00F2600B"/>
    <w:rsid w:val="00F274DD"/>
    <w:rsid w:val="00F30B21"/>
    <w:rsid w:val="00F31214"/>
    <w:rsid w:val="00F33719"/>
    <w:rsid w:val="00F338BE"/>
    <w:rsid w:val="00F33C45"/>
    <w:rsid w:val="00F34AC5"/>
    <w:rsid w:val="00F34AE7"/>
    <w:rsid w:val="00F34FAC"/>
    <w:rsid w:val="00F37B1F"/>
    <w:rsid w:val="00F37CAE"/>
    <w:rsid w:val="00F4184D"/>
    <w:rsid w:val="00F44018"/>
    <w:rsid w:val="00F4498C"/>
    <w:rsid w:val="00F44B8D"/>
    <w:rsid w:val="00F44D10"/>
    <w:rsid w:val="00F451B4"/>
    <w:rsid w:val="00F46454"/>
    <w:rsid w:val="00F471D4"/>
    <w:rsid w:val="00F474F4"/>
    <w:rsid w:val="00F47A53"/>
    <w:rsid w:val="00F51D21"/>
    <w:rsid w:val="00F53D22"/>
    <w:rsid w:val="00F546B1"/>
    <w:rsid w:val="00F546D7"/>
    <w:rsid w:val="00F54E8D"/>
    <w:rsid w:val="00F555E8"/>
    <w:rsid w:val="00F5567F"/>
    <w:rsid w:val="00F55DE2"/>
    <w:rsid w:val="00F5620A"/>
    <w:rsid w:val="00F57032"/>
    <w:rsid w:val="00F5724C"/>
    <w:rsid w:val="00F57445"/>
    <w:rsid w:val="00F60499"/>
    <w:rsid w:val="00F60967"/>
    <w:rsid w:val="00F615DD"/>
    <w:rsid w:val="00F628FA"/>
    <w:rsid w:val="00F62B05"/>
    <w:rsid w:val="00F650B1"/>
    <w:rsid w:val="00F65D64"/>
    <w:rsid w:val="00F6642B"/>
    <w:rsid w:val="00F66D88"/>
    <w:rsid w:val="00F67450"/>
    <w:rsid w:val="00F720C8"/>
    <w:rsid w:val="00F730D1"/>
    <w:rsid w:val="00F73589"/>
    <w:rsid w:val="00F737A5"/>
    <w:rsid w:val="00F7437D"/>
    <w:rsid w:val="00F76DED"/>
    <w:rsid w:val="00F77032"/>
    <w:rsid w:val="00F77609"/>
    <w:rsid w:val="00F77636"/>
    <w:rsid w:val="00F80171"/>
    <w:rsid w:val="00F80C6E"/>
    <w:rsid w:val="00F8168D"/>
    <w:rsid w:val="00F81815"/>
    <w:rsid w:val="00F81E05"/>
    <w:rsid w:val="00F824F2"/>
    <w:rsid w:val="00F8258F"/>
    <w:rsid w:val="00F83293"/>
    <w:rsid w:val="00F8346F"/>
    <w:rsid w:val="00F835C5"/>
    <w:rsid w:val="00F84586"/>
    <w:rsid w:val="00F84769"/>
    <w:rsid w:val="00F84E0E"/>
    <w:rsid w:val="00F85CF2"/>
    <w:rsid w:val="00F87C52"/>
    <w:rsid w:val="00F9006F"/>
    <w:rsid w:val="00F9086A"/>
    <w:rsid w:val="00F90AB8"/>
    <w:rsid w:val="00F9284E"/>
    <w:rsid w:val="00F933FF"/>
    <w:rsid w:val="00F93400"/>
    <w:rsid w:val="00F9370D"/>
    <w:rsid w:val="00F95A04"/>
    <w:rsid w:val="00F962F4"/>
    <w:rsid w:val="00F9685D"/>
    <w:rsid w:val="00F972AE"/>
    <w:rsid w:val="00F97840"/>
    <w:rsid w:val="00FA0796"/>
    <w:rsid w:val="00FA09B5"/>
    <w:rsid w:val="00FA11A7"/>
    <w:rsid w:val="00FA21A4"/>
    <w:rsid w:val="00FA2E36"/>
    <w:rsid w:val="00FA3726"/>
    <w:rsid w:val="00FA3D19"/>
    <w:rsid w:val="00FA4A5B"/>
    <w:rsid w:val="00FA4BCB"/>
    <w:rsid w:val="00FA4CD6"/>
    <w:rsid w:val="00FA5364"/>
    <w:rsid w:val="00FA5F6F"/>
    <w:rsid w:val="00FB0784"/>
    <w:rsid w:val="00FB2205"/>
    <w:rsid w:val="00FB2B49"/>
    <w:rsid w:val="00FB2F92"/>
    <w:rsid w:val="00FB3463"/>
    <w:rsid w:val="00FB3BBF"/>
    <w:rsid w:val="00FB40B8"/>
    <w:rsid w:val="00FB435C"/>
    <w:rsid w:val="00FB48C1"/>
    <w:rsid w:val="00FB49C8"/>
    <w:rsid w:val="00FB5763"/>
    <w:rsid w:val="00FB627E"/>
    <w:rsid w:val="00FB6351"/>
    <w:rsid w:val="00FB7473"/>
    <w:rsid w:val="00FC0160"/>
    <w:rsid w:val="00FC034E"/>
    <w:rsid w:val="00FC05E3"/>
    <w:rsid w:val="00FC0614"/>
    <w:rsid w:val="00FC0BF2"/>
    <w:rsid w:val="00FC1EF6"/>
    <w:rsid w:val="00FC1F1E"/>
    <w:rsid w:val="00FC27FD"/>
    <w:rsid w:val="00FC3B42"/>
    <w:rsid w:val="00FC3EDC"/>
    <w:rsid w:val="00FC3EF0"/>
    <w:rsid w:val="00FC4070"/>
    <w:rsid w:val="00FC522D"/>
    <w:rsid w:val="00FC5906"/>
    <w:rsid w:val="00FD0150"/>
    <w:rsid w:val="00FD10EE"/>
    <w:rsid w:val="00FD1389"/>
    <w:rsid w:val="00FD13A8"/>
    <w:rsid w:val="00FD14ED"/>
    <w:rsid w:val="00FD169F"/>
    <w:rsid w:val="00FD2EFC"/>
    <w:rsid w:val="00FD3620"/>
    <w:rsid w:val="00FD4130"/>
    <w:rsid w:val="00FD4BAB"/>
    <w:rsid w:val="00FD54C0"/>
    <w:rsid w:val="00FD6ED0"/>
    <w:rsid w:val="00FD737F"/>
    <w:rsid w:val="00FE06B4"/>
    <w:rsid w:val="00FE0F08"/>
    <w:rsid w:val="00FE261F"/>
    <w:rsid w:val="00FE2DB4"/>
    <w:rsid w:val="00FE30BC"/>
    <w:rsid w:val="00FE31ED"/>
    <w:rsid w:val="00FE3E4D"/>
    <w:rsid w:val="00FE49AA"/>
    <w:rsid w:val="00FE4C5F"/>
    <w:rsid w:val="00FE51D8"/>
    <w:rsid w:val="00FE582E"/>
    <w:rsid w:val="00FE5F08"/>
    <w:rsid w:val="00FE7B03"/>
    <w:rsid w:val="00FE7C7E"/>
    <w:rsid w:val="00FF0F39"/>
    <w:rsid w:val="00FF12C9"/>
    <w:rsid w:val="00FF1717"/>
    <w:rsid w:val="00FF1C29"/>
    <w:rsid w:val="00FF2102"/>
    <w:rsid w:val="00FF280A"/>
    <w:rsid w:val="00FF357C"/>
    <w:rsid w:val="00FF4154"/>
    <w:rsid w:val="00FF4320"/>
    <w:rsid w:val="00FF4673"/>
    <w:rsid w:val="00FF4F8D"/>
    <w:rsid w:val="00FF5CA6"/>
    <w:rsid w:val="00FF7617"/>
    <w:rsid w:val="00FF7B34"/>
    <w:rsid w:val="00FF7E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932FE"/>
  <w15:docId w15:val="{5BC251BF-98F9-4068-B68B-B0A726A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9" w:unhideWhenUsed="1" w:qFormat="1"/>
    <w:lsdException w:name="heading 5" w:uiPriority="0" w:qFormat="1"/>
    <w:lsdException w:name="heading 6" w:uiPriority="0" w:qFormat="1"/>
    <w:lsdException w:name="heading 7" w:uiPriority="0"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18"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iPriority="18" w:unhideWhenUsed="1" w:qFormat="1"/>
    <w:lsdException w:name="envelope return" w:semiHidden="1" w:uiPriority="18" w:unhideWhenUsed="1" w:qFormat="1"/>
    <w:lsdException w:name="footnote reference" w:semiHidden="1" w:unhideWhenUsed="1" w:qFormat="1"/>
    <w:lsdException w:name="annotation reference" w:semiHidden="1" w:unhideWhenUsed="1"/>
    <w:lsdException w:name="line number" w:semiHidden="1" w:uiPriority="0"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18" w:unhideWhenUsed="1" w:qFormat="1"/>
    <w:lsdException w:name="Signature" w:semiHidden="1" w:uiPriority="19" w:unhideWhenUsed="1" w:qFormat="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4" w:qFormat="1"/>
    <w:lsdException w:name="Salutation" w:semiHidden="1" w:unhideWhenUsed="1"/>
    <w:lsdException w:name="Date" w:semiHidden="1" w:unhideWhenUsed="1"/>
    <w:lsdException w:name="Body Text First Indent" w:semiHidden="1" w:uiPriority="0" w:unhideWhenUsed="1" w:qFormat="1"/>
    <w:lsdException w:name="Body Text First Indent 2" w:semiHidden="1" w:uiPriority="0" w:unhideWhenUsed="1" w:qFormat="1"/>
    <w:lsdException w:name="Note Heading" w:semiHidden="1" w:uiPriority="18" w:unhideWhenUsed="1" w:qFormat="1"/>
    <w:lsdException w:name="Body Text 2" w:semiHidden="1"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A08"/>
    <w:rPr>
      <w:rFonts w:ascii="Arial" w:hAnsi="Arial"/>
      <w:sz w:val="22"/>
    </w:rPr>
  </w:style>
  <w:style w:type="paragraph" w:styleId="Heading1">
    <w:name w:val="heading 1"/>
    <w:basedOn w:val="Normal"/>
    <w:next w:val="Normal"/>
    <w:link w:val="Heading1Char"/>
    <w:qFormat/>
    <w:rsid w:val="005866A9"/>
    <w:pPr>
      <w:keepNext/>
      <w:spacing w:line="480" w:lineRule="auto"/>
      <w:jc w:val="center"/>
      <w:outlineLvl w:val="0"/>
    </w:pPr>
    <w:rPr>
      <w:b/>
      <w:sz w:val="24"/>
      <w:szCs w:val="24"/>
      <w:u w:val="single"/>
    </w:rPr>
  </w:style>
  <w:style w:type="paragraph" w:styleId="Heading2">
    <w:name w:val="heading 2"/>
    <w:basedOn w:val="Normal"/>
    <w:next w:val="Normal"/>
    <w:link w:val="Heading2Char"/>
    <w:qFormat/>
    <w:rsid w:val="005866A9"/>
    <w:pPr>
      <w:keepNext/>
      <w:spacing w:line="480" w:lineRule="auto"/>
      <w:outlineLvl w:val="1"/>
    </w:pPr>
    <w:rPr>
      <w:b/>
      <w:bCs/>
      <w:sz w:val="24"/>
      <w:u w:val="single"/>
    </w:rPr>
  </w:style>
  <w:style w:type="paragraph" w:styleId="Heading3">
    <w:name w:val="heading 3"/>
    <w:basedOn w:val="Normal"/>
    <w:next w:val="Normal"/>
    <w:link w:val="Heading3Char"/>
    <w:qFormat/>
    <w:rsid w:val="00BD72C2"/>
    <w:pPr>
      <w:keepNext/>
      <w:spacing w:before="240" w:after="60"/>
      <w:outlineLvl w:val="2"/>
    </w:pPr>
    <w:rPr>
      <w:rFonts w:cs="Arial"/>
      <w:b/>
      <w:bCs/>
      <w:sz w:val="26"/>
      <w:szCs w:val="26"/>
    </w:rPr>
  </w:style>
  <w:style w:type="paragraph" w:styleId="Heading4">
    <w:name w:val="heading 4"/>
    <w:basedOn w:val="Normal"/>
    <w:next w:val="Normal"/>
    <w:link w:val="Heading4Char"/>
    <w:uiPriority w:val="9"/>
    <w:unhideWhenUsed/>
    <w:qFormat/>
    <w:rsid w:val="00BD72C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BD72C2"/>
    <w:pPr>
      <w:keepNext/>
      <w:tabs>
        <w:tab w:val="left" w:pos="720"/>
      </w:tabs>
      <w:spacing w:line="480" w:lineRule="exact"/>
      <w:ind w:left="720" w:hanging="720"/>
      <w:jc w:val="both"/>
      <w:outlineLvl w:val="4"/>
    </w:pPr>
    <w:rPr>
      <w:b/>
      <w:bCs/>
    </w:rPr>
  </w:style>
  <w:style w:type="paragraph" w:styleId="Heading6">
    <w:name w:val="heading 6"/>
    <w:basedOn w:val="Normal"/>
    <w:next w:val="Normal"/>
    <w:link w:val="Heading6Char"/>
    <w:qFormat/>
    <w:rsid w:val="00BD72C2"/>
    <w:pPr>
      <w:keepNext/>
      <w:keepLines/>
      <w:tabs>
        <w:tab w:val="left" w:pos="728"/>
      </w:tabs>
      <w:ind w:left="720" w:hanging="720"/>
      <w:jc w:val="center"/>
      <w:outlineLvl w:val="5"/>
    </w:pPr>
    <w:rPr>
      <w:rFonts w:ascii="Times New Roman" w:hAnsi="Times New Roman" w:cs="Arial"/>
      <w:b/>
      <w:bCs/>
      <w:sz w:val="24"/>
      <w:szCs w:val="24"/>
    </w:rPr>
  </w:style>
  <w:style w:type="paragraph" w:styleId="Heading7">
    <w:name w:val="heading 7"/>
    <w:basedOn w:val="Normal"/>
    <w:next w:val="Normal"/>
    <w:link w:val="Heading7Char"/>
    <w:qFormat/>
    <w:rsid w:val="00BD72C2"/>
    <w:pPr>
      <w:keepNext/>
      <w:tabs>
        <w:tab w:val="left" w:pos="728"/>
        <w:tab w:val="left" w:pos="1430"/>
        <w:tab w:val="left" w:pos="2158"/>
      </w:tabs>
      <w:jc w:val="center"/>
      <w:outlineLvl w:val="6"/>
    </w:pPr>
    <w:rPr>
      <w:b/>
      <w:bCs/>
      <w:u w:val="single"/>
    </w:rPr>
  </w:style>
  <w:style w:type="paragraph" w:styleId="Heading8">
    <w:name w:val="heading 8"/>
    <w:basedOn w:val="Normal"/>
    <w:next w:val="Normal"/>
    <w:link w:val="Heading8Char"/>
    <w:qFormat/>
    <w:rsid w:val="00BD72C2"/>
    <w:pPr>
      <w:widowControl w:val="0"/>
      <w:autoSpaceDE w:val="0"/>
      <w:autoSpaceDN w:val="0"/>
      <w:spacing w:before="240" w:after="60"/>
      <w:outlineLvl w:val="7"/>
    </w:pPr>
    <w:rPr>
      <w:i/>
      <w:iCs/>
      <w:sz w:val="24"/>
    </w:rPr>
  </w:style>
  <w:style w:type="paragraph" w:styleId="Heading9">
    <w:name w:val="heading 9"/>
    <w:basedOn w:val="Normal"/>
    <w:next w:val="Normal"/>
    <w:link w:val="Heading9Char"/>
    <w:qFormat/>
    <w:rsid w:val="00BD72C2"/>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rsid w:val="00BD72C2"/>
    <w:pPr>
      <w:tabs>
        <w:tab w:val="center" w:pos="4320"/>
        <w:tab w:val="right" w:pos="8640"/>
      </w:tabs>
    </w:pPr>
  </w:style>
  <w:style w:type="paragraph" w:styleId="Footer">
    <w:name w:val="footer"/>
    <w:basedOn w:val="Normal"/>
    <w:link w:val="FooterChar"/>
    <w:uiPriority w:val="18"/>
    <w:qFormat/>
    <w:rsid w:val="00BD72C2"/>
    <w:pPr>
      <w:tabs>
        <w:tab w:val="center" w:pos="4320"/>
        <w:tab w:val="right" w:pos="8640"/>
      </w:tabs>
    </w:pPr>
  </w:style>
  <w:style w:type="paragraph" w:styleId="Title">
    <w:name w:val="Title"/>
    <w:basedOn w:val="Normal"/>
    <w:link w:val="TitleChar"/>
    <w:qFormat/>
    <w:rsid w:val="00BD72C2"/>
    <w:pPr>
      <w:jc w:val="center"/>
    </w:pPr>
    <w:rPr>
      <w:b/>
      <w:sz w:val="24"/>
    </w:rPr>
  </w:style>
  <w:style w:type="paragraph" w:styleId="BodyText">
    <w:name w:val="Body Text"/>
    <w:basedOn w:val="Normal"/>
    <w:link w:val="BodyTextChar"/>
    <w:qFormat/>
    <w:rsid w:val="00BD72C2"/>
    <w:pPr>
      <w:spacing w:line="480" w:lineRule="auto"/>
    </w:pPr>
    <w:rPr>
      <w:b/>
      <w:caps/>
    </w:rPr>
  </w:style>
  <w:style w:type="paragraph" w:customStyle="1" w:styleId="TestimonyQ">
    <w:name w:val="Testimony Q"/>
    <w:basedOn w:val="Normal"/>
    <w:rsid w:val="00BD72C2"/>
    <w:pPr>
      <w:widowControl w:val="0"/>
      <w:tabs>
        <w:tab w:val="left" w:pos="-1440"/>
      </w:tabs>
      <w:spacing w:line="480" w:lineRule="auto"/>
      <w:ind w:left="720" w:hanging="720"/>
      <w:jc w:val="both"/>
    </w:pPr>
    <w:rPr>
      <w:b/>
      <w:caps/>
      <w:snapToGrid w:val="0"/>
    </w:rPr>
  </w:style>
  <w:style w:type="paragraph" w:styleId="BodyTextIndent3">
    <w:name w:val="Body Text Indent 3"/>
    <w:basedOn w:val="Normal"/>
    <w:link w:val="BodyTextIndent3Char"/>
    <w:qFormat/>
    <w:rsid w:val="00BD72C2"/>
    <w:pPr>
      <w:tabs>
        <w:tab w:val="left" w:pos="-1440"/>
      </w:tabs>
      <w:spacing w:line="480" w:lineRule="auto"/>
      <w:ind w:left="720" w:hanging="720"/>
      <w:jc w:val="both"/>
    </w:pPr>
    <w:rPr>
      <w:b/>
      <w:bCs/>
    </w:rPr>
  </w:style>
  <w:style w:type="paragraph" w:styleId="BodyTextIndent2">
    <w:name w:val="Body Text Indent 2"/>
    <w:basedOn w:val="Normal"/>
    <w:link w:val="BodyTextIndent2Char"/>
    <w:qFormat/>
    <w:rsid w:val="00BD72C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ind w:left="720" w:firstLine="720"/>
      <w:jc w:val="both"/>
    </w:pPr>
  </w:style>
  <w:style w:type="paragraph" w:styleId="BodyTextIndent">
    <w:name w:val="Body Text Indent"/>
    <w:basedOn w:val="Normal"/>
    <w:link w:val="BodyTextIndentChar"/>
    <w:qFormat/>
    <w:rsid w:val="00BD72C2"/>
    <w:pPr>
      <w:spacing w:line="480" w:lineRule="auto"/>
      <w:ind w:left="720" w:hanging="720"/>
      <w:jc w:val="both"/>
    </w:pPr>
  </w:style>
  <w:style w:type="character" w:styleId="PageNumber">
    <w:name w:val="page number"/>
    <w:basedOn w:val="DefaultParagraphFont"/>
    <w:qFormat/>
    <w:rsid w:val="00BD72C2"/>
  </w:style>
  <w:style w:type="character" w:styleId="LineNumber">
    <w:name w:val="line number"/>
    <w:basedOn w:val="DefaultParagraphFont"/>
    <w:rsid w:val="00BD72C2"/>
  </w:style>
  <w:style w:type="character" w:styleId="FootnoteReference">
    <w:name w:val="footnote reference"/>
    <w:aliases w:val="Style 12,Style 21,Style 3,fr,o,Style 13,Style 15,Style 17,Style 9,o1,fr1,o2,fr2,o3,fr3,Style 18,(NECG) Footnote Reference,Style 20,Style 7,Styl,Style 8,Style 19,Style 11,Style 28,Style 16,Footnote Reference (EIS),fnr,Style 30,."/>
    <w:basedOn w:val="DefaultParagraphFont"/>
    <w:uiPriority w:val="99"/>
    <w:qFormat/>
    <w:rsid w:val="00BD72C2"/>
    <w:rPr>
      <w:vertAlign w:val="superscript"/>
    </w:rPr>
  </w:style>
  <w:style w:type="paragraph" w:styleId="FootnoteText">
    <w:name w:val="footnote text"/>
    <w:aliases w:val="Footnote Text Char Char Char,Footnote Text Char Char Char Char Char,Footnote Text Char Char1 Char,Footnote Text Char1 Char,Footnote Text Char1 Char Char Char,Footnote Text Char1 Char1 Char,Footnote text,char,fn,ft,Footnote Text1 Char,f"/>
    <w:basedOn w:val="Normal"/>
    <w:link w:val="FootnoteTextChar"/>
    <w:uiPriority w:val="99"/>
    <w:qFormat/>
    <w:rsid w:val="00BD72C2"/>
    <w:pPr>
      <w:ind w:firstLine="720"/>
      <w:jc w:val="both"/>
    </w:pPr>
    <w:rPr>
      <w:sz w:val="20"/>
    </w:rPr>
  </w:style>
  <w:style w:type="character" w:customStyle="1" w:styleId="Heading4Char">
    <w:name w:val="Heading 4 Char"/>
    <w:basedOn w:val="DefaultParagraphFont"/>
    <w:link w:val="Heading4"/>
    <w:uiPriority w:val="9"/>
    <w:rsid w:val="00BD72C2"/>
    <w:rPr>
      <w:rFonts w:ascii="Calibri" w:eastAsia="Times New Roman" w:hAnsi="Calibri" w:cs="Times New Roman"/>
      <w:b/>
      <w:bCs/>
      <w:sz w:val="28"/>
      <w:szCs w:val="28"/>
    </w:rPr>
  </w:style>
  <w:style w:type="character" w:customStyle="1" w:styleId="Heading3Char">
    <w:name w:val="Heading 3 Char"/>
    <w:basedOn w:val="DefaultParagraphFont"/>
    <w:link w:val="Heading3"/>
    <w:rsid w:val="00BD72C2"/>
    <w:rPr>
      <w:rFonts w:ascii="Arial" w:hAnsi="Arial" w:cs="Arial"/>
      <w:b/>
      <w:bCs/>
      <w:sz w:val="26"/>
      <w:szCs w:val="26"/>
    </w:rPr>
  </w:style>
  <w:style w:type="character" w:customStyle="1" w:styleId="Heading2Char">
    <w:name w:val="Heading 2 Char"/>
    <w:basedOn w:val="DefaultParagraphFont"/>
    <w:link w:val="Heading2"/>
    <w:rsid w:val="005866A9"/>
    <w:rPr>
      <w:rFonts w:ascii="Arial" w:hAnsi="Arial"/>
      <w:b/>
      <w:bCs/>
      <w:sz w:val="24"/>
      <w:u w:val="single"/>
    </w:rPr>
  </w:style>
  <w:style w:type="character" w:customStyle="1" w:styleId="HeaderChar">
    <w:name w:val="Header Char"/>
    <w:basedOn w:val="DefaultParagraphFont"/>
    <w:link w:val="Header"/>
    <w:uiPriority w:val="99"/>
    <w:rsid w:val="00BD72C2"/>
    <w:rPr>
      <w:rFonts w:ascii="Arial" w:hAnsi="Arial"/>
      <w:sz w:val="22"/>
    </w:rPr>
  </w:style>
  <w:style w:type="character" w:customStyle="1" w:styleId="BodyTextIndent2Char">
    <w:name w:val="Body Text Indent 2 Char"/>
    <w:basedOn w:val="DefaultParagraphFont"/>
    <w:link w:val="BodyTextIndent2"/>
    <w:rsid w:val="00BD72C2"/>
    <w:rPr>
      <w:rFonts w:ascii="Arial" w:hAnsi="Arial"/>
      <w:sz w:val="22"/>
    </w:rPr>
  </w:style>
  <w:style w:type="character" w:customStyle="1" w:styleId="BodyTextIndent3Char">
    <w:name w:val="Body Text Indent 3 Char"/>
    <w:basedOn w:val="DefaultParagraphFont"/>
    <w:link w:val="BodyTextIndent3"/>
    <w:rsid w:val="00BD72C2"/>
    <w:rPr>
      <w:rFonts w:ascii="Arial" w:hAnsi="Arial"/>
      <w:b/>
      <w:bCs/>
      <w:sz w:val="22"/>
    </w:rPr>
  </w:style>
  <w:style w:type="table" w:styleId="TableGrid">
    <w:name w:val="Table Grid"/>
    <w:basedOn w:val="TableNormal"/>
    <w:uiPriority w:val="59"/>
    <w:rsid w:val="00BD72C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5866A9"/>
    <w:rPr>
      <w:rFonts w:ascii="Arial" w:hAnsi="Arial"/>
      <w:b/>
      <w:sz w:val="24"/>
      <w:szCs w:val="24"/>
      <w:u w:val="single"/>
    </w:rPr>
  </w:style>
  <w:style w:type="character" w:styleId="Hyperlink">
    <w:name w:val="Hyperlink"/>
    <w:basedOn w:val="DefaultParagraphFont"/>
    <w:uiPriority w:val="99"/>
    <w:unhideWhenUsed/>
    <w:rsid w:val="00BD72C2"/>
    <w:rPr>
      <w:color w:val="0000FF"/>
      <w:u w:val="single"/>
    </w:rPr>
  </w:style>
  <w:style w:type="paragraph" w:styleId="BalloonText">
    <w:name w:val="Balloon Text"/>
    <w:basedOn w:val="Normal"/>
    <w:link w:val="BalloonTextChar"/>
    <w:uiPriority w:val="99"/>
    <w:semiHidden/>
    <w:unhideWhenUsed/>
    <w:rsid w:val="00BD72C2"/>
    <w:rPr>
      <w:rFonts w:ascii="Tahoma" w:hAnsi="Tahoma" w:cs="Tahoma"/>
      <w:sz w:val="16"/>
      <w:szCs w:val="16"/>
    </w:rPr>
  </w:style>
  <w:style w:type="character" w:customStyle="1" w:styleId="BalloonTextChar">
    <w:name w:val="Balloon Text Char"/>
    <w:basedOn w:val="DefaultParagraphFont"/>
    <w:link w:val="BalloonText"/>
    <w:uiPriority w:val="99"/>
    <w:semiHidden/>
    <w:rsid w:val="00BD72C2"/>
    <w:rPr>
      <w:rFonts w:ascii="Tahoma" w:hAnsi="Tahoma" w:cs="Tahoma"/>
      <w:sz w:val="16"/>
      <w:szCs w:val="16"/>
    </w:rPr>
  </w:style>
  <w:style w:type="character" w:customStyle="1" w:styleId="FooterChar">
    <w:name w:val="Footer Char"/>
    <w:basedOn w:val="DefaultParagraphFont"/>
    <w:link w:val="Footer"/>
    <w:uiPriority w:val="18"/>
    <w:rsid w:val="00BD72C2"/>
    <w:rPr>
      <w:rFonts w:ascii="Arial" w:hAnsi="Arial"/>
      <w:sz w:val="22"/>
    </w:rPr>
  </w:style>
  <w:style w:type="paragraph" w:styleId="TOC1">
    <w:name w:val="toc 1"/>
    <w:basedOn w:val="Normal"/>
    <w:next w:val="Normal"/>
    <w:autoRedefine/>
    <w:uiPriority w:val="39"/>
    <w:unhideWhenUsed/>
    <w:qFormat/>
    <w:rsid w:val="00430D99"/>
    <w:pPr>
      <w:tabs>
        <w:tab w:val="left" w:pos="360"/>
        <w:tab w:val="left" w:pos="900"/>
        <w:tab w:val="right" w:leader="dot" w:pos="9350"/>
      </w:tabs>
    </w:pPr>
    <w:rPr>
      <w:b/>
      <w:noProof/>
    </w:rPr>
  </w:style>
  <w:style w:type="character" w:customStyle="1" w:styleId="FootnoteTextChar">
    <w:name w:val="Footnote Text Char"/>
    <w:aliases w:val="Footnote Text Char Char Char Char,Footnote Text Char Char Char Char Char Char,Footnote Text Char Char1 Char Char,Footnote Text Char1 Char Char,Footnote Text Char1 Char Char Char Char,Footnote Text Char1 Char1 Char Char,char Char"/>
    <w:basedOn w:val="DefaultParagraphFont"/>
    <w:link w:val="FootnoteText"/>
    <w:uiPriority w:val="99"/>
    <w:rsid w:val="00BD72C2"/>
    <w:rPr>
      <w:rFonts w:ascii="Arial" w:hAnsi="Arial"/>
    </w:rPr>
  </w:style>
  <w:style w:type="paragraph" w:styleId="ListParagraph">
    <w:name w:val="List Paragraph"/>
    <w:basedOn w:val="Normal"/>
    <w:uiPriority w:val="34"/>
    <w:qFormat/>
    <w:rsid w:val="00BD72C2"/>
    <w:pPr>
      <w:ind w:left="720"/>
    </w:pPr>
  </w:style>
  <w:style w:type="character" w:customStyle="1" w:styleId="BodyTextIndentChar">
    <w:name w:val="Body Text Indent Char"/>
    <w:basedOn w:val="DefaultParagraphFont"/>
    <w:link w:val="BodyTextIndent"/>
    <w:rsid w:val="00BD72C2"/>
    <w:rPr>
      <w:rFonts w:ascii="Arial" w:hAnsi="Arial"/>
      <w:sz w:val="22"/>
    </w:rPr>
  </w:style>
  <w:style w:type="paragraph" w:styleId="TOC2">
    <w:name w:val="toc 2"/>
    <w:basedOn w:val="Normal"/>
    <w:next w:val="Normal"/>
    <w:autoRedefine/>
    <w:uiPriority w:val="39"/>
    <w:unhideWhenUsed/>
    <w:qFormat/>
    <w:rsid w:val="000A71A9"/>
    <w:pPr>
      <w:tabs>
        <w:tab w:val="left" w:pos="360"/>
        <w:tab w:val="left" w:pos="450"/>
        <w:tab w:val="left" w:pos="900"/>
        <w:tab w:val="left" w:pos="1440"/>
        <w:tab w:val="right" w:leader="dot" w:pos="9350"/>
      </w:tabs>
      <w:ind w:left="360"/>
    </w:pPr>
  </w:style>
  <w:style w:type="character" w:customStyle="1" w:styleId="BodyTextChar">
    <w:name w:val="Body Text Char"/>
    <w:basedOn w:val="DefaultParagraphFont"/>
    <w:link w:val="BodyText"/>
    <w:rsid w:val="00BD72C2"/>
    <w:rPr>
      <w:rFonts w:ascii="Arial" w:hAnsi="Arial"/>
      <w:b/>
      <w:caps/>
      <w:sz w:val="22"/>
    </w:rPr>
  </w:style>
  <w:style w:type="paragraph" w:styleId="BodyText2">
    <w:name w:val="Body Text 2"/>
    <w:basedOn w:val="Normal"/>
    <w:link w:val="BodyText2Char"/>
    <w:uiPriority w:val="99"/>
    <w:unhideWhenUsed/>
    <w:qFormat/>
    <w:rsid w:val="00BD72C2"/>
    <w:pPr>
      <w:spacing w:after="120" w:line="480" w:lineRule="auto"/>
    </w:pPr>
  </w:style>
  <w:style w:type="character" w:customStyle="1" w:styleId="BodyText2Char">
    <w:name w:val="Body Text 2 Char"/>
    <w:basedOn w:val="DefaultParagraphFont"/>
    <w:link w:val="BodyText2"/>
    <w:uiPriority w:val="99"/>
    <w:rsid w:val="00BD72C2"/>
    <w:rPr>
      <w:rFonts w:ascii="Arial" w:hAnsi="Arial"/>
      <w:sz w:val="22"/>
    </w:rPr>
  </w:style>
  <w:style w:type="paragraph" w:styleId="BlockText">
    <w:name w:val="Block Text"/>
    <w:basedOn w:val="Normal"/>
    <w:qFormat/>
    <w:rsid w:val="00BD72C2"/>
    <w:pPr>
      <w:autoSpaceDE w:val="0"/>
      <w:autoSpaceDN w:val="0"/>
      <w:adjustRightInd w:val="0"/>
      <w:ind w:left="1440" w:right="720"/>
    </w:pPr>
  </w:style>
  <w:style w:type="paragraph" w:customStyle="1" w:styleId="Default">
    <w:name w:val="Default"/>
    <w:rsid w:val="00BD72C2"/>
    <w:pPr>
      <w:autoSpaceDE w:val="0"/>
      <w:autoSpaceDN w:val="0"/>
      <w:adjustRightInd w:val="0"/>
    </w:pPr>
    <w:rPr>
      <w:rFonts w:ascii="Cambria" w:hAnsi="Cambria" w:cs="Cambria"/>
      <w:color w:val="000000"/>
      <w:sz w:val="24"/>
      <w:szCs w:val="24"/>
    </w:rPr>
  </w:style>
  <w:style w:type="character" w:customStyle="1" w:styleId="Heading8Char">
    <w:name w:val="Heading 8 Char"/>
    <w:basedOn w:val="DefaultParagraphFont"/>
    <w:link w:val="Heading8"/>
    <w:rsid w:val="00BD72C2"/>
    <w:rPr>
      <w:rFonts w:ascii="Arial" w:hAnsi="Arial"/>
      <w:i/>
      <w:iCs/>
      <w:sz w:val="24"/>
    </w:rPr>
  </w:style>
  <w:style w:type="character" w:styleId="Strong">
    <w:name w:val="Strong"/>
    <w:basedOn w:val="DefaultParagraphFont"/>
    <w:qFormat/>
    <w:rsid w:val="00BD72C2"/>
    <w:rPr>
      <w:b/>
      <w:bCs/>
    </w:rPr>
  </w:style>
  <w:style w:type="paragraph" w:styleId="Caption">
    <w:name w:val="caption"/>
    <w:basedOn w:val="Normal"/>
    <w:next w:val="Normal"/>
    <w:qFormat/>
    <w:rsid w:val="00BD72C2"/>
    <w:pPr>
      <w:spacing w:before="120" w:after="120"/>
    </w:pPr>
    <w:rPr>
      <w:b/>
      <w:bCs/>
      <w:sz w:val="20"/>
    </w:rPr>
  </w:style>
  <w:style w:type="character" w:customStyle="1" w:styleId="TitleChar">
    <w:name w:val="Title Char"/>
    <w:basedOn w:val="DefaultParagraphFont"/>
    <w:link w:val="Title"/>
    <w:rsid w:val="00BD72C2"/>
    <w:rPr>
      <w:rFonts w:ascii="Arial" w:hAnsi="Arial"/>
      <w:b/>
      <w:sz w:val="24"/>
    </w:rPr>
  </w:style>
  <w:style w:type="character" w:customStyle="1" w:styleId="Heading5Char">
    <w:name w:val="Heading 5 Char"/>
    <w:basedOn w:val="DefaultParagraphFont"/>
    <w:link w:val="Heading5"/>
    <w:rsid w:val="00BD72C2"/>
    <w:rPr>
      <w:rFonts w:ascii="Arial" w:hAnsi="Arial"/>
      <w:b/>
      <w:bCs/>
      <w:sz w:val="22"/>
    </w:rPr>
  </w:style>
  <w:style w:type="character" w:customStyle="1" w:styleId="Heading6Char">
    <w:name w:val="Heading 6 Char"/>
    <w:basedOn w:val="DefaultParagraphFont"/>
    <w:link w:val="Heading6"/>
    <w:rsid w:val="00BD72C2"/>
    <w:rPr>
      <w:rFonts w:cs="Arial"/>
      <w:b/>
      <w:bCs/>
      <w:sz w:val="24"/>
      <w:szCs w:val="24"/>
    </w:rPr>
  </w:style>
  <w:style w:type="paragraph" w:customStyle="1" w:styleId="Question">
    <w:name w:val="Question"/>
    <w:basedOn w:val="Normal"/>
    <w:next w:val="Normal"/>
    <w:rsid w:val="00BD72C2"/>
    <w:pPr>
      <w:keepNext/>
      <w:keepLines/>
      <w:spacing w:after="240"/>
      <w:ind w:left="720" w:hanging="720"/>
      <w:jc w:val="both"/>
    </w:pPr>
    <w:rPr>
      <w:rFonts w:ascii="Times New Roman Bold" w:hAnsi="Times New Roman Bold"/>
      <w:b/>
      <w:caps/>
      <w:sz w:val="24"/>
      <w:szCs w:val="24"/>
    </w:rPr>
  </w:style>
  <w:style w:type="paragraph" w:styleId="CommentText">
    <w:name w:val="annotation text"/>
    <w:basedOn w:val="Normal"/>
    <w:link w:val="CommentTextChar"/>
    <w:uiPriority w:val="99"/>
    <w:unhideWhenUsed/>
    <w:rsid w:val="00BD72C2"/>
    <w:rPr>
      <w:sz w:val="20"/>
    </w:rPr>
  </w:style>
  <w:style w:type="character" w:customStyle="1" w:styleId="CommentTextChar">
    <w:name w:val="Comment Text Char"/>
    <w:basedOn w:val="DefaultParagraphFont"/>
    <w:link w:val="CommentText"/>
    <w:uiPriority w:val="99"/>
    <w:rsid w:val="00BD72C2"/>
    <w:rPr>
      <w:rFonts w:ascii="Arial" w:hAnsi="Arial"/>
    </w:rPr>
  </w:style>
  <w:style w:type="character" w:styleId="CommentReference">
    <w:name w:val="annotation reference"/>
    <w:basedOn w:val="DefaultParagraphFont"/>
    <w:uiPriority w:val="99"/>
    <w:semiHidden/>
    <w:unhideWhenUsed/>
    <w:rsid w:val="00BD72C2"/>
    <w:rPr>
      <w:sz w:val="16"/>
      <w:szCs w:val="16"/>
    </w:rPr>
  </w:style>
  <w:style w:type="paragraph" w:styleId="CommentSubject">
    <w:name w:val="annotation subject"/>
    <w:basedOn w:val="CommentText"/>
    <w:next w:val="CommentText"/>
    <w:link w:val="CommentSubjectChar"/>
    <w:uiPriority w:val="99"/>
    <w:semiHidden/>
    <w:unhideWhenUsed/>
    <w:rsid w:val="00BD72C2"/>
    <w:rPr>
      <w:b/>
      <w:bCs/>
    </w:rPr>
  </w:style>
  <w:style w:type="character" w:customStyle="1" w:styleId="CommentSubjectChar">
    <w:name w:val="Comment Subject Char"/>
    <w:basedOn w:val="CommentTextChar"/>
    <w:link w:val="CommentSubject"/>
    <w:uiPriority w:val="99"/>
    <w:semiHidden/>
    <w:rsid w:val="00BD72C2"/>
    <w:rPr>
      <w:rFonts w:ascii="Arial" w:hAnsi="Arial"/>
      <w:b/>
      <w:bCs/>
    </w:rPr>
  </w:style>
  <w:style w:type="paragraph" w:styleId="TOC3">
    <w:name w:val="toc 3"/>
    <w:basedOn w:val="Normal"/>
    <w:next w:val="Normal"/>
    <w:autoRedefine/>
    <w:uiPriority w:val="39"/>
    <w:unhideWhenUsed/>
    <w:qFormat/>
    <w:rsid w:val="00BD72C2"/>
    <w:pPr>
      <w:ind w:left="440"/>
    </w:pPr>
  </w:style>
  <w:style w:type="character" w:customStyle="1" w:styleId="Heading7Char">
    <w:name w:val="Heading 7 Char"/>
    <w:basedOn w:val="DefaultParagraphFont"/>
    <w:link w:val="Heading7"/>
    <w:rsid w:val="00BD72C2"/>
    <w:rPr>
      <w:rFonts w:ascii="Arial" w:hAnsi="Arial"/>
      <w:b/>
      <w:bCs/>
      <w:sz w:val="22"/>
      <w:u w:val="single"/>
    </w:rPr>
  </w:style>
  <w:style w:type="character" w:customStyle="1" w:styleId="Heading9Char">
    <w:name w:val="Heading 9 Char"/>
    <w:basedOn w:val="DefaultParagraphFont"/>
    <w:link w:val="Heading9"/>
    <w:rsid w:val="00BD72C2"/>
    <w:rPr>
      <w:rFonts w:ascii="Arial" w:hAnsi="Arial"/>
      <w:b/>
      <w:bCs/>
      <w:sz w:val="22"/>
    </w:rPr>
  </w:style>
  <w:style w:type="paragraph" w:styleId="Revision">
    <w:name w:val="Revision"/>
    <w:hidden/>
    <w:uiPriority w:val="99"/>
    <w:semiHidden/>
    <w:rsid w:val="00BD72C2"/>
    <w:rPr>
      <w:rFonts w:ascii="Arial" w:hAnsi="Arial"/>
      <w:sz w:val="22"/>
    </w:rPr>
  </w:style>
  <w:style w:type="numbering" w:customStyle="1" w:styleId="NoList1">
    <w:name w:val="No List1"/>
    <w:next w:val="NoList"/>
    <w:uiPriority w:val="99"/>
    <w:semiHidden/>
    <w:unhideWhenUsed/>
    <w:rsid w:val="00BD72C2"/>
  </w:style>
  <w:style w:type="table" w:customStyle="1" w:styleId="TableGrid1">
    <w:name w:val="Table Grid1"/>
    <w:basedOn w:val="TableNormal"/>
    <w:next w:val="TableGrid"/>
    <w:uiPriority w:val="59"/>
    <w:rsid w:val="00BD72C2"/>
    <w:rPr>
      <w:rFonts w:ascii="Arial"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question0">
    <w:name w:val="question"/>
    <w:basedOn w:val="Normal"/>
    <w:next w:val="Normal"/>
    <w:autoRedefine/>
    <w:rsid w:val="00BD72C2"/>
    <w:pPr>
      <w:keepNext/>
      <w:keepLines/>
      <w:overflowPunct w:val="0"/>
      <w:autoSpaceDE w:val="0"/>
      <w:autoSpaceDN w:val="0"/>
      <w:adjustRightInd w:val="0"/>
      <w:spacing w:after="120"/>
      <w:ind w:left="720" w:hanging="720"/>
      <w:jc w:val="both"/>
      <w:textAlignment w:val="baseline"/>
    </w:pPr>
    <w:rPr>
      <w:rFonts w:ascii="Times New Roman" w:hAnsi="Times New Roman"/>
      <w:b/>
      <w:spacing w:val="10"/>
      <w:sz w:val="24"/>
      <w:szCs w:val="24"/>
    </w:rPr>
  </w:style>
  <w:style w:type="paragraph" w:customStyle="1" w:styleId="Answer">
    <w:name w:val="Answer"/>
    <w:basedOn w:val="Normal"/>
    <w:next w:val="Normal"/>
    <w:link w:val="AnswerChar"/>
    <w:qFormat/>
    <w:rsid w:val="00BD72C2"/>
    <w:pPr>
      <w:overflowPunct w:val="0"/>
      <w:autoSpaceDE w:val="0"/>
      <w:autoSpaceDN w:val="0"/>
      <w:adjustRightInd w:val="0"/>
      <w:spacing w:after="240" w:line="480" w:lineRule="auto"/>
      <w:ind w:left="720" w:hanging="720"/>
      <w:jc w:val="both"/>
      <w:textAlignment w:val="baseline"/>
    </w:pPr>
    <w:rPr>
      <w:rFonts w:ascii="Times New Roman" w:hAnsi="Times New Roman"/>
      <w:spacing w:val="10"/>
      <w:sz w:val="24"/>
      <w:szCs w:val="24"/>
    </w:rPr>
  </w:style>
  <w:style w:type="character" w:customStyle="1" w:styleId="AnswerChar">
    <w:name w:val="Answer Char"/>
    <w:link w:val="Answer"/>
    <w:rsid w:val="00BD72C2"/>
    <w:rPr>
      <w:spacing w:val="10"/>
      <w:sz w:val="24"/>
      <w:szCs w:val="24"/>
    </w:rPr>
  </w:style>
  <w:style w:type="numbering" w:customStyle="1" w:styleId="NoList11">
    <w:name w:val="No List11"/>
    <w:next w:val="NoList"/>
    <w:uiPriority w:val="99"/>
    <w:semiHidden/>
    <w:unhideWhenUsed/>
    <w:rsid w:val="00BD72C2"/>
  </w:style>
  <w:style w:type="paragraph" w:styleId="TOC4">
    <w:name w:val="toc 4"/>
    <w:basedOn w:val="Normal"/>
    <w:next w:val="Normal"/>
    <w:autoRedefine/>
    <w:semiHidden/>
    <w:qFormat/>
    <w:rsid w:val="00BD72C2"/>
    <w:pPr>
      <w:widowControl w:val="0"/>
      <w:autoSpaceDE w:val="0"/>
      <w:autoSpaceDN w:val="0"/>
      <w:ind w:left="600"/>
    </w:pPr>
    <w:rPr>
      <w:rFonts w:ascii="Times New Roman" w:hAnsi="Times New Roman" w:cs="Courier New"/>
      <w:sz w:val="24"/>
    </w:rPr>
  </w:style>
  <w:style w:type="paragraph" w:styleId="TOC5">
    <w:name w:val="toc 5"/>
    <w:basedOn w:val="Normal"/>
    <w:next w:val="Normal"/>
    <w:autoRedefine/>
    <w:semiHidden/>
    <w:qFormat/>
    <w:rsid w:val="00BD72C2"/>
    <w:pPr>
      <w:widowControl w:val="0"/>
      <w:autoSpaceDE w:val="0"/>
      <w:autoSpaceDN w:val="0"/>
      <w:ind w:left="800"/>
    </w:pPr>
    <w:rPr>
      <w:rFonts w:ascii="Times New Roman" w:hAnsi="Times New Roman" w:cs="Courier New"/>
      <w:sz w:val="24"/>
    </w:rPr>
  </w:style>
  <w:style w:type="paragraph" w:styleId="TOC6">
    <w:name w:val="toc 6"/>
    <w:basedOn w:val="Normal"/>
    <w:next w:val="Normal"/>
    <w:autoRedefine/>
    <w:semiHidden/>
    <w:qFormat/>
    <w:rsid w:val="00BD72C2"/>
    <w:pPr>
      <w:widowControl w:val="0"/>
      <w:autoSpaceDE w:val="0"/>
      <w:autoSpaceDN w:val="0"/>
      <w:ind w:left="1000"/>
    </w:pPr>
    <w:rPr>
      <w:rFonts w:ascii="Times New Roman" w:hAnsi="Times New Roman" w:cs="Courier New"/>
      <w:sz w:val="24"/>
    </w:rPr>
  </w:style>
  <w:style w:type="paragraph" w:styleId="TOC7">
    <w:name w:val="toc 7"/>
    <w:basedOn w:val="Normal"/>
    <w:next w:val="Normal"/>
    <w:autoRedefine/>
    <w:semiHidden/>
    <w:qFormat/>
    <w:rsid w:val="00BD72C2"/>
    <w:pPr>
      <w:widowControl w:val="0"/>
      <w:autoSpaceDE w:val="0"/>
      <w:autoSpaceDN w:val="0"/>
      <w:ind w:left="1200"/>
    </w:pPr>
    <w:rPr>
      <w:rFonts w:ascii="Times New Roman" w:hAnsi="Times New Roman" w:cs="Courier New"/>
      <w:sz w:val="24"/>
    </w:rPr>
  </w:style>
  <w:style w:type="paragraph" w:styleId="TOC8">
    <w:name w:val="toc 8"/>
    <w:basedOn w:val="Normal"/>
    <w:next w:val="Normal"/>
    <w:autoRedefine/>
    <w:semiHidden/>
    <w:qFormat/>
    <w:rsid w:val="00BD72C2"/>
    <w:pPr>
      <w:widowControl w:val="0"/>
      <w:autoSpaceDE w:val="0"/>
      <w:autoSpaceDN w:val="0"/>
      <w:ind w:left="1400"/>
    </w:pPr>
    <w:rPr>
      <w:rFonts w:ascii="Times New Roman" w:hAnsi="Times New Roman" w:cs="Courier New"/>
      <w:sz w:val="24"/>
    </w:rPr>
  </w:style>
  <w:style w:type="paragraph" w:styleId="TOC9">
    <w:name w:val="toc 9"/>
    <w:basedOn w:val="Normal"/>
    <w:next w:val="Normal"/>
    <w:autoRedefine/>
    <w:semiHidden/>
    <w:qFormat/>
    <w:rsid w:val="00BD72C2"/>
    <w:pPr>
      <w:widowControl w:val="0"/>
      <w:autoSpaceDE w:val="0"/>
      <w:autoSpaceDN w:val="0"/>
      <w:ind w:left="1600"/>
    </w:pPr>
    <w:rPr>
      <w:rFonts w:ascii="Times New Roman" w:hAnsi="Times New Roman" w:cs="Courier New"/>
      <w:sz w:val="24"/>
    </w:rPr>
  </w:style>
  <w:style w:type="paragraph" w:styleId="BodyText3">
    <w:name w:val="Body Text 3"/>
    <w:basedOn w:val="BodyText"/>
    <w:link w:val="BodyText3Char"/>
    <w:qFormat/>
    <w:rsid w:val="00BD72C2"/>
    <w:pPr>
      <w:spacing w:before="240"/>
      <w:ind w:left="720"/>
      <w:jc w:val="both"/>
    </w:pPr>
    <w:rPr>
      <w:rFonts w:ascii="Times New Roman" w:hAnsi="Times New Roman"/>
      <w:b w:val="0"/>
      <w:caps w:val="0"/>
      <w:sz w:val="24"/>
      <w:szCs w:val="24"/>
    </w:rPr>
  </w:style>
  <w:style w:type="character" w:customStyle="1" w:styleId="BodyText3Char">
    <w:name w:val="Body Text 3 Char"/>
    <w:basedOn w:val="DefaultParagraphFont"/>
    <w:link w:val="BodyText3"/>
    <w:rsid w:val="00BD72C2"/>
    <w:rPr>
      <w:sz w:val="24"/>
      <w:szCs w:val="24"/>
    </w:rPr>
  </w:style>
  <w:style w:type="paragraph" w:customStyle="1" w:styleId="Blockquote">
    <w:name w:val="Blockquote"/>
    <w:basedOn w:val="Normal"/>
    <w:rsid w:val="00BD72C2"/>
    <w:pPr>
      <w:spacing w:after="240"/>
      <w:ind w:left="1440" w:right="720"/>
      <w:jc w:val="both"/>
    </w:pPr>
    <w:rPr>
      <w:rFonts w:ascii="Times New Roman" w:hAnsi="Times New Roman"/>
      <w:sz w:val="24"/>
      <w:szCs w:val="24"/>
    </w:rPr>
  </w:style>
  <w:style w:type="paragraph" w:customStyle="1" w:styleId="SingleSpacing">
    <w:name w:val="Single Spacing"/>
    <w:basedOn w:val="Normal"/>
    <w:rsid w:val="00BD72C2"/>
    <w:pPr>
      <w:spacing w:line="254" w:lineRule="exact"/>
    </w:pPr>
    <w:rPr>
      <w:rFonts w:ascii="Times New Roman" w:hAnsi="Times New Roman"/>
      <w:sz w:val="24"/>
    </w:rPr>
  </w:style>
  <w:style w:type="character" w:customStyle="1" w:styleId="BalloonTextChar1">
    <w:name w:val="Balloon Text Char1"/>
    <w:uiPriority w:val="99"/>
    <w:semiHidden/>
    <w:rsid w:val="00BD72C2"/>
    <w:rPr>
      <w:rFonts w:ascii="Tahoma" w:hAnsi="Tahoma" w:cs="Tahoma"/>
      <w:sz w:val="16"/>
      <w:szCs w:val="16"/>
    </w:rPr>
  </w:style>
  <w:style w:type="paragraph" w:customStyle="1" w:styleId="a">
    <w:name w:val="_"/>
    <w:basedOn w:val="Normal"/>
    <w:rsid w:val="00BD72C2"/>
    <w:pPr>
      <w:widowControl w:val="0"/>
      <w:autoSpaceDE w:val="0"/>
      <w:autoSpaceDN w:val="0"/>
      <w:adjustRightInd w:val="0"/>
      <w:ind w:left="2880" w:hanging="720"/>
    </w:pPr>
    <w:rPr>
      <w:rFonts w:ascii="Times New Roman" w:hAnsi="Times New Roman"/>
      <w:sz w:val="20"/>
      <w:szCs w:val="24"/>
    </w:rPr>
  </w:style>
  <w:style w:type="character" w:customStyle="1" w:styleId="DocID">
    <w:name w:val="DocID"/>
    <w:rsid w:val="00BD72C2"/>
    <w:rPr>
      <w:sz w:val="16"/>
    </w:rPr>
  </w:style>
  <w:style w:type="paragraph" w:customStyle="1" w:styleId="DocIDPara">
    <w:name w:val="DocIDPara"/>
    <w:rsid w:val="00BD72C2"/>
  </w:style>
  <w:style w:type="paragraph" w:customStyle="1" w:styleId="StyleJustified">
    <w:name w:val="Style Justified"/>
    <w:basedOn w:val="Normal"/>
    <w:rsid w:val="00BD72C2"/>
    <w:pPr>
      <w:spacing w:line="480" w:lineRule="auto"/>
      <w:jc w:val="both"/>
    </w:pPr>
    <w:rPr>
      <w:rFonts w:ascii="Times New Roman" w:hAnsi="Times New Roman"/>
      <w:sz w:val="24"/>
    </w:rPr>
  </w:style>
  <w:style w:type="character" w:customStyle="1" w:styleId="zzmpTrailerItem">
    <w:name w:val="zzmpTrailerItem"/>
    <w:rsid w:val="00BD72C2"/>
    <w:rPr>
      <w:rFonts w:ascii="Arial" w:hAnsi="Arial" w:cs="Arial"/>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styleId="Emphasis">
    <w:name w:val="Emphasis"/>
    <w:qFormat/>
    <w:rsid w:val="00BD72C2"/>
    <w:rPr>
      <w:b/>
      <w:bCs/>
      <w:i w:val="0"/>
      <w:iCs w:val="0"/>
    </w:rPr>
  </w:style>
  <w:style w:type="character" w:customStyle="1" w:styleId="FootnoteTextChar1">
    <w:name w:val="Footnote Text Char1"/>
    <w:aliases w:val="Footnote Text Char Char Char Char Char Char1,Footnote Text Char Char Char Char1,Footnote Text Char Char1 Char Char1,Footnote Text Char1 Char Char Char Char1,Footnote Text Char1 Char Char1,Footnote Text Char1 Char1 Char Char1"/>
    <w:locked/>
    <w:rsid w:val="0018156A"/>
    <w:rPr>
      <w:rFonts w:ascii="Arial" w:hAnsi="Arial" w:cs="Times New Roman"/>
      <w:lang w:val="en-US" w:eastAsia="en-US" w:bidi="ar-SA"/>
    </w:rPr>
  </w:style>
  <w:style w:type="paragraph" w:customStyle="1" w:styleId="center">
    <w:name w:val="center"/>
    <w:basedOn w:val="Normal"/>
    <w:rsid w:val="0018156A"/>
    <w:pPr>
      <w:keepLines/>
      <w:spacing w:before="240" w:line="240" w:lineRule="atLeast"/>
      <w:jc w:val="center"/>
    </w:pPr>
    <w:rPr>
      <w:rFonts w:ascii="Times New Roman" w:hAnsi="Times New Roman"/>
      <w:sz w:val="24"/>
      <w:lang w:eastAsia="zh-CN"/>
    </w:rPr>
  </w:style>
  <w:style w:type="numbering" w:customStyle="1" w:styleId="NoList2">
    <w:name w:val="No List2"/>
    <w:next w:val="NoList"/>
    <w:uiPriority w:val="99"/>
    <w:semiHidden/>
    <w:unhideWhenUsed/>
    <w:rsid w:val="0018156A"/>
  </w:style>
  <w:style w:type="paragraph" w:customStyle="1" w:styleId="ColorfulList-Accent11">
    <w:name w:val="Colorful List - Accent 11"/>
    <w:basedOn w:val="Normal"/>
    <w:uiPriority w:val="34"/>
    <w:qFormat/>
    <w:rsid w:val="0018156A"/>
    <w:pPr>
      <w:spacing w:after="200" w:line="276" w:lineRule="auto"/>
      <w:ind w:left="720"/>
      <w:contextualSpacing/>
    </w:pPr>
    <w:rPr>
      <w:szCs w:val="22"/>
    </w:rPr>
  </w:style>
  <w:style w:type="character" w:customStyle="1" w:styleId="CommentTextChar1">
    <w:name w:val="Comment Text Char1"/>
    <w:basedOn w:val="DefaultParagraphFont"/>
    <w:uiPriority w:val="99"/>
    <w:semiHidden/>
    <w:rsid w:val="0018156A"/>
  </w:style>
  <w:style w:type="character" w:customStyle="1" w:styleId="CommentSubjectChar1">
    <w:name w:val="Comment Subject Char1"/>
    <w:uiPriority w:val="99"/>
    <w:semiHidden/>
    <w:rsid w:val="0018156A"/>
    <w:rPr>
      <w:b/>
      <w:bCs/>
    </w:rPr>
  </w:style>
  <w:style w:type="numbering" w:customStyle="1" w:styleId="NoList111">
    <w:name w:val="No List111"/>
    <w:next w:val="NoList"/>
    <w:uiPriority w:val="99"/>
    <w:semiHidden/>
    <w:unhideWhenUsed/>
    <w:rsid w:val="0018156A"/>
  </w:style>
  <w:style w:type="numbering" w:customStyle="1" w:styleId="NoList1111">
    <w:name w:val="No List1111"/>
    <w:next w:val="NoList"/>
    <w:uiPriority w:val="99"/>
    <w:semiHidden/>
    <w:unhideWhenUsed/>
    <w:rsid w:val="0018156A"/>
  </w:style>
  <w:style w:type="paragraph" w:styleId="TOCHeading">
    <w:name w:val="TOC Heading"/>
    <w:basedOn w:val="Heading1"/>
    <w:next w:val="Normal"/>
    <w:uiPriority w:val="39"/>
    <w:semiHidden/>
    <w:unhideWhenUsed/>
    <w:qFormat/>
    <w:rsid w:val="0018156A"/>
    <w:pPr>
      <w:keepLines/>
      <w:spacing w:before="480" w:line="276" w:lineRule="auto"/>
      <w:outlineLvl w:val="9"/>
    </w:pPr>
    <w:rPr>
      <w:rFonts w:ascii="Cambria" w:eastAsia="MS Gothic" w:hAnsi="Cambria"/>
      <w:bCs/>
      <w:color w:val="365F91"/>
      <w:sz w:val="28"/>
      <w:szCs w:val="28"/>
      <w:u w:val="none"/>
      <w:lang w:eastAsia="ja-JP"/>
    </w:rPr>
  </w:style>
  <w:style w:type="paragraph" w:customStyle="1" w:styleId="BodyLeft">
    <w:name w:val="Body Left"/>
    <w:basedOn w:val="BodyText"/>
    <w:uiPriority w:val="18"/>
    <w:qFormat/>
    <w:rsid w:val="0018156A"/>
    <w:pPr>
      <w:spacing w:after="240" w:line="240" w:lineRule="auto"/>
    </w:pPr>
    <w:rPr>
      <w:rFonts w:ascii="Times New Roman" w:hAnsi="Times New Roman"/>
      <w:b w:val="0"/>
      <w:caps w:val="0"/>
      <w:sz w:val="24"/>
      <w:szCs w:val="24"/>
    </w:rPr>
  </w:style>
  <w:style w:type="paragraph" w:customStyle="1" w:styleId="CenteredCaption">
    <w:name w:val="Centered Caption"/>
    <w:basedOn w:val="Normal"/>
    <w:next w:val="BodyText"/>
    <w:uiPriority w:val="1"/>
    <w:qFormat/>
    <w:rsid w:val="0018156A"/>
    <w:pPr>
      <w:keepNext/>
      <w:spacing w:after="240"/>
      <w:jc w:val="center"/>
    </w:pPr>
    <w:rPr>
      <w:rFonts w:ascii="Times New Roman" w:hAnsi="Times New Roman"/>
      <w:b/>
      <w:smallCaps/>
      <w:sz w:val="28"/>
      <w:szCs w:val="24"/>
    </w:rPr>
  </w:style>
  <w:style w:type="character" w:customStyle="1" w:styleId="Citation">
    <w:name w:val="Citation"/>
    <w:basedOn w:val="DefaultParagraphFont"/>
    <w:uiPriority w:val="18"/>
    <w:qFormat/>
    <w:rsid w:val="0018156A"/>
    <w:rPr>
      <w:i/>
    </w:rPr>
  </w:style>
  <w:style w:type="paragraph" w:customStyle="1" w:styleId="Comment">
    <w:name w:val="Comment"/>
    <w:basedOn w:val="Normal"/>
    <w:next w:val="Normal"/>
    <w:uiPriority w:val="18"/>
    <w:qFormat/>
    <w:rsid w:val="0018156A"/>
    <w:rPr>
      <w:rFonts w:ascii="Times New Roman" w:hAnsi="Times New Roman"/>
      <w:vanish/>
      <w:color w:val="0000FF"/>
      <w:sz w:val="24"/>
      <w:szCs w:val="24"/>
    </w:rPr>
  </w:style>
  <w:style w:type="paragraph" w:customStyle="1" w:styleId="ListAlpha">
    <w:name w:val="List Alpha"/>
    <w:basedOn w:val="Normal"/>
    <w:uiPriority w:val="18"/>
    <w:qFormat/>
    <w:rsid w:val="0018156A"/>
    <w:pPr>
      <w:numPr>
        <w:numId w:val="1"/>
      </w:numPr>
      <w:spacing w:after="240"/>
    </w:pPr>
    <w:rPr>
      <w:rFonts w:ascii="Times New Roman" w:hAnsi="Times New Roman"/>
      <w:sz w:val="24"/>
      <w:szCs w:val="24"/>
    </w:rPr>
  </w:style>
  <w:style w:type="paragraph" w:customStyle="1" w:styleId="ListDefin">
    <w:name w:val="List Defin"/>
    <w:basedOn w:val="Heading2"/>
    <w:uiPriority w:val="18"/>
    <w:qFormat/>
    <w:rsid w:val="0018156A"/>
    <w:pPr>
      <w:keepNext w:val="0"/>
      <w:spacing w:after="240"/>
      <w:outlineLvl w:val="9"/>
    </w:pPr>
    <w:rPr>
      <w:rFonts w:ascii="Times New Roman" w:hAnsi="Times New Roman"/>
      <w:bCs w:val="0"/>
      <w:szCs w:val="24"/>
    </w:rPr>
  </w:style>
  <w:style w:type="paragraph" w:customStyle="1" w:styleId="ListNum">
    <w:name w:val="ListNum"/>
    <w:basedOn w:val="ListParagraph"/>
    <w:uiPriority w:val="18"/>
    <w:qFormat/>
    <w:rsid w:val="0018156A"/>
    <w:pPr>
      <w:numPr>
        <w:numId w:val="2"/>
      </w:numPr>
      <w:contextualSpacing/>
    </w:pPr>
    <w:rPr>
      <w:rFonts w:ascii="Times New Roman" w:hAnsi="Times New Roman"/>
      <w:sz w:val="24"/>
      <w:szCs w:val="24"/>
    </w:rPr>
  </w:style>
  <w:style w:type="paragraph" w:customStyle="1" w:styleId="Quote1">
    <w:name w:val="Quote1"/>
    <w:basedOn w:val="Normal"/>
    <w:uiPriority w:val="2"/>
    <w:qFormat/>
    <w:rsid w:val="0018156A"/>
    <w:pPr>
      <w:spacing w:after="240"/>
      <w:ind w:left="1440" w:right="1440"/>
    </w:pPr>
    <w:rPr>
      <w:rFonts w:ascii="Times New Roman" w:hAnsi="Times New Roman"/>
      <w:sz w:val="24"/>
      <w:szCs w:val="24"/>
    </w:rPr>
  </w:style>
  <w:style w:type="character" w:customStyle="1" w:styleId="TitleText1">
    <w:name w:val="TitleText1"/>
    <w:basedOn w:val="DefaultParagraphFont"/>
    <w:uiPriority w:val="18"/>
    <w:qFormat/>
    <w:rsid w:val="0018156A"/>
  </w:style>
  <w:style w:type="character" w:customStyle="1" w:styleId="TitleText2">
    <w:name w:val="TitleText2"/>
    <w:basedOn w:val="DefaultParagraphFont"/>
    <w:uiPriority w:val="18"/>
    <w:qFormat/>
    <w:rsid w:val="0018156A"/>
  </w:style>
  <w:style w:type="character" w:customStyle="1" w:styleId="TitleText3">
    <w:name w:val="TitleText3"/>
    <w:basedOn w:val="DefaultParagraphFont"/>
    <w:uiPriority w:val="18"/>
    <w:qFormat/>
    <w:rsid w:val="0018156A"/>
  </w:style>
  <w:style w:type="character" w:customStyle="1" w:styleId="TitleText4">
    <w:name w:val="TitleText4"/>
    <w:basedOn w:val="DefaultParagraphFont"/>
    <w:uiPriority w:val="18"/>
    <w:qFormat/>
    <w:rsid w:val="0018156A"/>
  </w:style>
  <w:style w:type="character" w:customStyle="1" w:styleId="TitleText5">
    <w:name w:val="TitleText5"/>
    <w:basedOn w:val="DefaultParagraphFont"/>
    <w:uiPriority w:val="18"/>
    <w:qFormat/>
    <w:rsid w:val="0018156A"/>
  </w:style>
  <w:style w:type="character" w:customStyle="1" w:styleId="TitleText7">
    <w:name w:val="TitleText7"/>
    <w:basedOn w:val="DefaultParagraphFont"/>
    <w:uiPriority w:val="18"/>
    <w:qFormat/>
    <w:rsid w:val="0018156A"/>
  </w:style>
  <w:style w:type="character" w:customStyle="1" w:styleId="TitleText8">
    <w:name w:val="TitleText8"/>
    <w:basedOn w:val="DefaultParagraphFont"/>
    <w:uiPriority w:val="18"/>
    <w:qFormat/>
    <w:rsid w:val="0018156A"/>
  </w:style>
  <w:style w:type="character" w:customStyle="1" w:styleId="TitleText9">
    <w:name w:val="TitleText9"/>
    <w:basedOn w:val="DefaultParagraphFont"/>
    <w:uiPriority w:val="18"/>
    <w:qFormat/>
    <w:rsid w:val="0018156A"/>
  </w:style>
  <w:style w:type="paragraph" w:styleId="EnvelopeAddress">
    <w:name w:val="envelope address"/>
    <w:basedOn w:val="Normal"/>
    <w:uiPriority w:val="18"/>
    <w:qFormat/>
    <w:rsid w:val="0018156A"/>
    <w:pPr>
      <w:framePr w:w="7920" w:h="1980" w:hRule="exact" w:hSpace="180" w:wrap="auto" w:hAnchor="page" w:xAlign="center" w:yAlign="bottom"/>
      <w:ind w:left="2880"/>
    </w:pPr>
    <w:rPr>
      <w:rFonts w:ascii="Times New Roman" w:hAnsi="Times New Roman" w:cs="Arial"/>
      <w:sz w:val="24"/>
      <w:szCs w:val="24"/>
    </w:rPr>
  </w:style>
  <w:style w:type="paragraph" w:styleId="EnvelopeReturn">
    <w:name w:val="envelope return"/>
    <w:basedOn w:val="Normal"/>
    <w:uiPriority w:val="18"/>
    <w:qFormat/>
    <w:rsid w:val="0018156A"/>
    <w:rPr>
      <w:rFonts w:ascii="Times New Roman" w:hAnsi="Times New Roman" w:cs="Arial"/>
      <w:sz w:val="20"/>
      <w:szCs w:val="24"/>
    </w:rPr>
  </w:style>
  <w:style w:type="paragraph" w:styleId="ListBullet">
    <w:name w:val="List Bullet"/>
    <w:basedOn w:val="Normal"/>
    <w:uiPriority w:val="99"/>
    <w:unhideWhenUsed/>
    <w:qFormat/>
    <w:rsid w:val="0018156A"/>
    <w:pPr>
      <w:numPr>
        <w:numId w:val="3"/>
      </w:numPr>
      <w:spacing w:after="240"/>
    </w:pPr>
    <w:rPr>
      <w:rFonts w:ascii="Times New Roman" w:hAnsi="Times New Roman"/>
      <w:sz w:val="24"/>
      <w:szCs w:val="24"/>
    </w:rPr>
  </w:style>
  <w:style w:type="paragraph" w:styleId="ListBullet2">
    <w:name w:val="List Bullet 2"/>
    <w:basedOn w:val="Normal"/>
    <w:uiPriority w:val="99"/>
    <w:unhideWhenUsed/>
    <w:qFormat/>
    <w:rsid w:val="0018156A"/>
    <w:pPr>
      <w:numPr>
        <w:numId w:val="4"/>
      </w:numPr>
      <w:spacing w:after="240"/>
    </w:pPr>
    <w:rPr>
      <w:rFonts w:ascii="Times New Roman" w:hAnsi="Times New Roman"/>
      <w:sz w:val="24"/>
      <w:szCs w:val="24"/>
    </w:rPr>
  </w:style>
  <w:style w:type="paragraph" w:styleId="ListBullet3">
    <w:name w:val="List Bullet 3"/>
    <w:basedOn w:val="Normal"/>
    <w:uiPriority w:val="99"/>
    <w:unhideWhenUsed/>
    <w:qFormat/>
    <w:rsid w:val="0018156A"/>
    <w:pPr>
      <w:numPr>
        <w:numId w:val="5"/>
      </w:numPr>
      <w:spacing w:after="240"/>
    </w:pPr>
    <w:rPr>
      <w:rFonts w:ascii="Times New Roman" w:hAnsi="Times New Roman"/>
      <w:sz w:val="24"/>
      <w:szCs w:val="24"/>
    </w:rPr>
  </w:style>
  <w:style w:type="paragraph" w:styleId="ListBullet4">
    <w:name w:val="List Bullet 4"/>
    <w:basedOn w:val="Normal"/>
    <w:uiPriority w:val="99"/>
    <w:unhideWhenUsed/>
    <w:qFormat/>
    <w:rsid w:val="0018156A"/>
    <w:pPr>
      <w:numPr>
        <w:numId w:val="6"/>
      </w:numPr>
      <w:spacing w:after="240"/>
    </w:pPr>
    <w:rPr>
      <w:rFonts w:ascii="Times New Roman" w:hAnsi="Times New Roman"/>
      <w:sz w:val="24"/>
      <w:szCs w:val="24"/>
    </w:rPr>
  </w:style>
  <w:style w:type="paragraph" w:styleId="ListBullet5">
    <w:name w:val="List Bullet 5"/>
    <w:basedOn w:val="Normal"/>
    <w:uiPriority w:val="99"/>
    <w:unhideWhenUsed/>
    <w:qFormat/>
    <w:rsid w:val="0018156A"/>
    <w:pPr>
      <w:numPr>
        <w:numId w:val="7"/>
      </w:numPr>
      <w:spacing w:after="240"/>
    </w:pPr>
    <w:rPr>
      <w:rFonts w:ascii="Times New Roman" w:hAnsi="Times New Roman"/>
      <w:sz w:val="24"/>
      <w:szCs w:val="24"/>
    </w:rPr>
  </w:style>
  <w:style w:type="paragraph" w:styleId="Closing">
    <w:name w:val="Closing"/>
    <w:basedOn w:val="Normal"/>
    <w:link w:val="ClosingChar"/>
    <w:uiPriority w:val="18"/>
    <w:qFormat/>
    <w:rsid w:val="0018156A"/>
    <w:pPr>
      <w:tabs>
        <w:tab w:val="left" w:leader="underscore" w:pos="9360"/>
      </w:tabs>
      <w:ind w:left="4320"/>
    </w:pPr>
    <w:rPr>
      <w:rFonts w:ascii="Times New Roman" w:hAnsi="Times New Roman"/>
      <w:sz w:val="24"/>
      <w:szCs w:val="24"/>
    </w:rPr>
  </w:style>
  <w:style w:type="character" w:customStyle="1" w:styleId="ClosingChar">
    <w:name w:val="Closing Char"/>
    <w:basedOn w:val="DefaultParagraphFont"/>
    <w:link w:val="Closing"/>
    <w:uiPriority w:val="18"/>
    <w:rsid w:val="0018156A"/>
    <w:rPr>
      <w:sz w:val="24"/>
      <w:szCs w:val="24"/>
    </w:rPr>
  </w:style>
  <w:style w:type="paragraph" w:styleId="NoteHeading">
    <w:name w:val="Note Heading"/>
    <w:basedOn w:val="Normal"/>
    <w:next w:val="Normal"/>
    <w:link w:val="NoteHeadingChar"/>
    <w:uiPriority w:val="18"/>
    <w:qFormat/>
    <w:rsid w:val="0018156A"/>
    <w:rPr>
      <w:rFonts w:ascii="Times New Roman" w:hAnsi="Times New Roman"/>
      <w:sz w:val="24"/>
      <w:szCs w:val="24"/>
    </w:rPr>
  </w:style>
  <w:style w:type="character" w:customStyle="1" w:styleId="NoteHeadingChar">
    <w:name w:val="Note Heading Char"/>
    <w:basedOn w:val="DefaultParagraphFont"/>
    <w:link w:val="NoteHeading"/>
    <w:uiPriority w:val="18"/>
    <w:rsid w:val="0018156A"/>
    <w:rPr>
      <w:sz w:val="24"/>
      <w:szCs w:val="24"/>
    </w:rPr>
  </w:style>
  <w:style w:type="character" w:styleId="FollowedHyperlink">
    <w:name w:val="FollowedHyperlink"/>
    <w:basedOn w:val="DefaultParagraphFont"/>
    <w:uiPriority w:val="99"/>
    <w:semiHidden/>
    <w:unhideWhenUsed/>
    <w:rsid w:val="00EA67E9"/>
    <w:rPr>
      <w:color w:val="800080" w:themeColor="followedHyperlink"/>
      <w:u w:val="single"/>
    </w:rPr>
  </w:style>
  <w:style w:type="paragraph" w:customStyle="1" w:styleId="Level1">
    <w:name w:val="Level 1"/>
    <w:basedOn w:val="Normal"/>
    <w:rsid w:val="00AF683A"/>
    <w:pPr>
      <w:widowControl w:val="0"/>
      <w:numPr>
        <w:numId w:val="9"/>
      </w:numPr>
      <w:outlineLvl w:val="0"/>
    </w:pPr>
    <w:rPr>
      <w:snapToGrid w:val="0"/>
    </w:rPr>
  </w:style>
  <w:style w:type="paragraph" w:styleId="NormalWeb">
    <w:name w:val="Normal (Web)"/>
    <w:basedOn w:val="Normal"/>
    <w:uiPriority w:val="99"/>
    <w:unhideWhenUsed/>
    <w:rsid w:val="00522D3A"/>
    <w:pPr>
      <w:spacing w:before="100" w:beforeAutospacing="1" w:after="100" w:afterAutospacing="1"/>
    </w:pPr>
    <w:rPr>
      <w:rFonts w:ascii="Times New Roman" w:hAnsi="Times New Roman"/>
      <w:sz w:val="24"/>
      <w:szCs w:val="24"/>
    </w:rPr>
  </w:style>
  <w:style w:type="paragraph" w:customStyle="1" w:styleId="NoteHeading1">
    <w:name w:val="Note Heading1"/>
    <w:basedOn w:val="Normal"/>
    <w:next w:val="Normal"/>
    <w:uiPriority w:val="18"/>
    <w:qFormat/>
    <w:rsid w:val="00C101D9"/>
    <w:rPr>
      <w:rFonts w:ascii="Times New Roman" w:hAnsi="Times New Roman"/>
      <w:sz w:val="24"/>
      <w:szCs w:val="24"/>
    </w:rPr>
  </w:style>
  <w:style w:type="numbering" w:customStyle="1" w:styleId="NoList3">
    <w:name w:val="No List3"/>
    <w:next w:val="NoList"/>
    <w:uiPriority w:val="99"/>
    <w:semiHidden/>
    <w:unhideWhenUsed/>
    <w:rsid w:val="002C207B"/>
  </w:style>
  <w:style w:type="numbering" w:customStyle="1" w:styleId="NoList12">
    <w:name w:val="No List12"/>
    <w:next w:val="NoList"/>
    <w:uiPriority w:val="99"/>
    <w:semiHidden/>
    <w:unhideWhenUsed/>
    <w:rsid w:val="002C207B"/>
  </w:style>
  <w:style w:type="numbering" w:customStyle="1" w:styleId="NoList112">
    <w:name w:val="No List112"/>
    <w:next w:val="NoList"/>
    <w:uiPriority w:val="99"/>
    <w:semiHidden/>
    <w:unhideWhenUsed/>
    <w:rsid w:val="002C207B"/>
  </w:style>
  <w:style w:type="numbering" w:customStyle="1" w:styleId="NoList21">
    <w:name w:val="No List21"/>
    <w:next w:val="NoList"/>
    <w:uiPriority w:val="99"/>
    <w:semiHidden/>
    <w:unhideWhenUsed/>
    <w:rsid w:val="002C207B"/>
  </w:style>
  <w:style w:type="numbering" w:customStyle="1" w:styleId="NoList1112">
    <w:name w:val="No List1112"/>
    <w:next w:val="NoList"/>
    <w:uiPriority w:val="99"/>
    <w:semiHidden/>
    <w:unhideWhenUsed/>
    <w:rsid w:val="002C207B"/>
  </w:style>
  <w:style w:type="numbering" w:customStyle="1" w:styleId="NoList11111">
    <w:name w:val="No List11111"/>
    <w:next w:val="NoList"/>
    <w:uiPriority w:val="99"/>
    <w:semiHidden/>
    <w:unhideWhenUsed/>
    <w:rsid w:val="002C207B"/>
  </w:style>
  <w:style w:type="paragraph" w:customStyle="1" w:styleId="TestimonyA">
    <w:name w:val="Testimony A"/>
    <w:basedOn w:val="TestimonyQ"/>
    <w:autoRedefine/>
    <w:rsid w:val="002C207B"/>
    <w:pPr>
      <w:widowControl/>
      <w:tabs>
        <w:tab w:val="clear" w:pos="-1440"/>
      </w:tabs>
    </w:pPr>
    <w:rPr>
      <w:rFonts w:ascii="Times New Roman" w:hAnsi="Times New Roman"/>
      <w:b w:val="0"/>
      <w:caps w:val="0"/>
      <w:snapToGrid/>
      <w:sz w:val="24"/>
      <w:szCs w:val="24"/>
    </w:rPr>
  </w:style>
  <w:style w:type="paragraph" w:styleId="EndnoteText">
    <w:name w:val="endnote text"/>
    <w:basedOn w:val="Normal"/>
    <w:link w:val="EndnoteTextChar"/>
    <w:uiPriority w:val="99"/>
    <w:semiHidden/>
    <w:unhideWhenUsed/>
    <w:rsid w:val="002C207B"/>
    <w:rPr>
      <w:rFonts w:ascii="Times New Roman" w:hAnsi="Times New Roman"/>
      <w:sz w:val="20"/>
    </w:rPr>
  </w:style>
  <w:style w:type="character" w:customStyle="1" w:styleId="EndnoteTextChar">
    <w:name w:val="Endnote Text Char"/>
    <w:basedOn w:val="DefaultParagraphFont"/>
    <w:link w:val="EndnoteText"/>
    <w:uiPriority w:val="99"/>
    <w:semiHidden/>
    <w:rsid w:val="002C207B"/>
  </w:style>
  <w:style w:type="character" w:styleId="EndnoteReference">
    <w:name w:val="endnote reference"/>
    <w:basedOn w:val="DefaultParagraphFont"/>
    <w:uiPriority w:val="99"/>
    <w:semiHidden/>
    <w:unhideWhenUsed/>
    <w:rsid w:val="002C207B"/>
    <w:rPr>
      <w:vertAlign w:val="superscript"/>
    </w:rPr>
  </w:style>
  <w:style w:type="numbering" w:customStyle="1" w:styleId="NoList111111">
    <w:name w:val="No List111111"/>
    <w:next w:val="NoList"/>
    <w:uiPriority w:val="99"/>
    <w:semiHidden/>
    <w:unhideWhenUsed/>
    <w:rsid w:val="002C207B"/>
  </w:style>
  <w:style w:type="paragraph" w:styleId="HTMLPreformatted">
    <w:name w:val="HTML Preformatted"/>
    <w:basedOn w:val="Normal"/>
    <w:link w:val="HTMLPreformattedChar"/>
    <w:uiPriority w:val="99"/>
    <w:semiHidden/>
    <w:unhideWhenUsed/>
    <w:rsid w:val="002C2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2C207B"/>
    <w:rPr>
      <w:rFonts w:ascii="Courier New" w:hAnsi="Courier New" w:cs="Courier New"/>
    </w:rPr>
  </w:style>
  <w:style w:type="paragraph" w:styleId="Bibliography">
    <w:name w:val="Bibliography"/>
    <w:basedOn w:val="Normal"/>
    <w:next w:val="Normal"/>
    <w:uiPriority w:val="37"/>
    <w:semiHidden/>
    <w:unhideWhenUsed/>
    <w:rsid w:val="002C207B"/>
    <w:pPr>
      <w:spacing w:line="240" w:lineRule="exact"/>
    </w:pPr>
    <w:rPr>
      <w:rFonts w:ascii="Times New Roman" w:eastAsiaTheme="minorHAnsi" w:hAnsi="Times New Roman" w:cstheme="minorBidi"/>
      <w:sz w:val="24"/>
      <w:szCs w:val="24"/>
    </w:rPr>
  </w:style>
  <w:style w:type="paragraph" w:styleId="BodyTextFirstIndent">
    <w:name w:val="Body Text First Indent"/>
    <w:basedOn w:val="BodyText"/>
    <w:link w:val="BodyTextFirstIndentChar"/>
    <w:qFormat/>
    <w:rsid w:val="002C207B"/>
    <w:pPr>
      <w:spacing w:line="480" w:lineRule="exact"/>
      <w:ind w:firstLine="720"/>
    </w:pPr>
    <w:rPr>
      <w:rFonts w:ascii="Times New Roman" w:eastAsiaTheme="minorHAnsi" w:hAnsi="Times New Roman" w:cstheme="minorBidi"/>
      <w:b w:val="0"/>
      <w:caps w:val="0"/>
      <w:sz w:val="24"/>
      <w:szCs w:val="24"/>
    </w:rPr>
  </w:style>
  <w:style w:type="character" w:customStyle="1" w:styleId="BodyTextFirstIndentChar">
    <w:name w:val="Body Text First Indent Char"/>
    <w:basedOn w:val="BodyTextChar"/>
    <w:link w:val="BodyTextFirstIndent"/>
    <w:rsid w:val="002C207B"/>
    <w:rPr>
      <w:rFonts w:ascii="Arial" w:eastAsiaTheme="minorHAnsi" w:hAnsi="Arial" w:cstheme="minorBidi"/>
      <w:b w:val="0"/>
      <w:caps w:val="0"/>
      <w:sz w:val="24"/>
      <w:szCs w:val="24"/>
    </w:rPr>
  </w:style>
  <w:style w:type="character" w:customStyle="1" w:styleId="BodyTextChar1">
    <w:name w:val="Body Text Char1"/>
    <w:basedOn w:val="DefaultParagraphFont"/>
    <w:rsid w:val="002C207B"/>
    <w:rPr>
      <w:rFonts w:ascii="Arial" w:hAnsi="Arial"/>
      <w:b/>
      <w:caps/>
      <w:sz w:val="22"/>
    </w:rPr>
  </w:style>
  <w:style w:type="paragraph" w:styleId="BodyTextFirstIndent2">
    <w:name w:val="Body Text First Indent 2"/>
    <w:basedOn w:val="BodyTextIndent"/>
    <w:link w:val="BodyTextFirstIndent2Char"/>
    <w:qFormat/>
    <w:rsid w:val="002C207B"/>
    <w:pPr>
      <w:spacing w:line="480" w:lineRule="exact"/>
      <w:ind w:left="0" w:firstLine="720"/>
      <w:jc w:val="left"/>
    </w:pPr>
    <w:rPr>
      <w:rFonts w:ascii="Times New Roman" w:eastAsiaTheme="minorHAnsi" w:hAnsi="Times New Roman" w:cstheme="minorBidi"/>
      <w:sz w:val="24"/>
      <w:szCs w:val="24"/>
    </w:rPr>
  </w:style>
  <w:style w:type="character" w:customStyle="1" w:styleId="BodyTextFirstIndent2Char">
    <w:name w:val="Body Text First Indent 2 Char"/>
    <w:basedOn w:val="BodyTextIndentChar"/>
    <w:link w:val="BodyTextFirstIndent2"/>
    <w:rsid w:val="002C207B"/>
    <w:rPr>
      <w:rFonts w:ascii="Arial" w:eastAsiaTheme="minorHAnsi" w:hAnsi="Arial" w:cstheme="minorBidi"/>
      <w:sz w:val="24"/>
      <w:szCs w:val="24"/>
    </w:rPr>
  </w:style>
  <w:style w:type="paragraph" w:styleId="Date">
    <w:name w:val="Date"/>
    <w:basedOn w:val="Normal"/>
    <w:next w:val="Normal"/>
    <w:link w:val="DateChar"/>
    <w:uiPriority w:val="99"/>
    <w:semiHidden/>
    <w:unhideWhenUsed/>
    <w:rsid w:val="002C207B"/>
    <w:pPr>
      <w:spacing w:line="240" w:lineRule="exact"/>
    </w:pPr>
    <w:rPr>
      <w:rFonts w:ascii="Times New Roman" w:eastAsiaTheme="minorHAnsi" w:hAnsi="Times New Roman" w:cstheme="minorBidi"/>
      <w:sz w:val="24"/>
      <w:szCs w:val="24"/>
    </w:rPr>
  </w:style>
  <w:style w:type="character" w:customStyle="1" w:styleId="DateChar">
    <w:name w:val="Date Char"/>
    <w:basedOn w:val="DefaultParagraphFont"/>
    <w:link w:val="Date"/>
    <w:uiPriority w:val="99"/>
    <w:semiHidden/>
    <w:rsid w:val="002C207B"/>
    <w:rPr>
      <w:rFonts w:eastAsiaTheme="minorHAnsi" w:cstheme="minorBidi"/>
      <w:sz w:val="24"/>
      <w:szCs w:val="24"/>
    </w:rPr>
  </w:style>
  <w:style w:type="paragraph" w:styleId="DocumentMap">
    <w:name w:val="Document Map"/>
    <w:basedOn w:val="Normal"/>
    <w:link w:val="DocumentMapChar"/>
    <w:uiPriority w:val="99"/>
    <w:semiHidden/>
    <w:unhideWhenUsed/>
    <w:rsid w:val="002C207B"/>
    <w:pPr>
      <w:spacing w:line="240" w:lineRule="exact"/>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2C207B"/>
    <w:rPr>
      <w:rFonts w:ascii="Tahoma" w:eastAsiaTheme="minorHAnsi" w:hAnsi="Tahoma" w:cs="Tahoma"/>
      <w:sz w:val="16"/>
      <w:szCs w:val="16"/>
    </w:rPr>
  </w:style>
  <w:style w:type="paragraph" w:styleId="E-mailSignature">
    <w:name w:val="E-mail Signature"/>
    <w:basedOn w:val="Normal"/>
    <w:link w:val="E-mailSignatureChar"/>
    <w:uiPriority w:val="99"/>
    <w:semiHidden/>
    <w:unhideWhenUsed/>
    <w:rsid w:val="002C207B"/>
    <w:pPr>
      <w:spacing w:line="240" w:lineRule="exact"/>
    </w:pPr>
    <w:rPr>
      <w:rFonts w:ascii="Times New Roman" w:eastAsiaTheme="minorHAnsi" w:hAnsi="Times New Roman" w:cstheme="minorBidi"/>
      <w:sz w:val="24"/>
      <w:szCs w:val="24"/>
    </w:rPr>
  </w:style>
  <w:style w:type="character" w:customStyle="1" w:styleId="E-mailSignatureChar">
    <w:name w:val="E-mail Signature Char"/>
    <w:basedOn w:val="DefaultParagraphFont"/>
    <w:link w:val="E-mailSignature"/>
    <w:uiPriority w:val="99"/>
    <w:semiHidden/>
    <w:rsid w:val="002C207B"/>
    <w:rPr>
      <w:rFonts w:eastAsiaTheme="minorHAnsi" w:cstheme="minorBidi"/>
      <w:sz w:val="24"/>
      <w:szCs w:val="24"/>
    </w:rPr>
  </w:style>
  <w:style w:type="paragraph" w:styleId="HTMLAddress">
    <w:name w:val="HTML Address"/>
    <w:basedOn w:val="Normal"/>
    <w:link w:val="HTMLAddressChar"/>
    <w:uiPriority w:val="99"/>
    <w:semiHidden/>
    <w:unhideWhenUsed/>
    <w:rsid w:val="002C207B"/>
    <w:pPr>
      <w:spacing w:line="240" w:lineRule="exact"/>
    </w:pPr>
    <w:rPr>
      <w:rFonts w:ascii="Times New Roman" w:eastAsiaTheme="minorHAnsi" w:hAnsi="Times New Roman" w:cstheme="minorBidi"/>
      <w:i/>
      <w:iCs/>
      <w:sz w:val="24"/>
      <w:szCs w:val="24"/>
    </w:rPr>
  </w:style>
  <w:style w:type="character" w:customStyle="1" w:styleId="HTMLAddressChar">
    <w:name w:val="HTML Address Char"/>
    <w:basedOn w:val="DefaultParagraphFont"/>
    <w:link w:val="HTMLAddress"/>
    <w:uiPriority w:val="99"/>
    <w:semiHidden/>
    <w:rsid w:val="002C207B"/>
    <w:rPr>
      <w:rFonts w:eastAsiaTheme="minorHAnsi" w:cstheme="minorBidi"/>
      <w:i/>
      <w:iCs/>
      <w:sz w:val="24"/>
      <w:szCs w:val="24"/>
    </w:rPr>
  </w:style>
  <w:style w:type="paragraph" w:styleId="Index1">
    <w:name w:val="index 1"/>
    <w:basedOn w:val="Normal"/>
    <w:next w:val="Normal"/>
    <w:autoRedefine/>
    <w:uiPriority w:val="99"/>
    <w:semiHidden/>
    <w:unhideWhenUsed/>
    <w:rsid w:val="002C207B"/>
    <w:pPr>
      <w:spacing w:line="240" w:lineRule="exact"/>
      <w:ind w:left="220" w:hanging="220"/>
    </w:pPr>
    <w:rPr>
      <w:rFonts w:ascii="Times New Roman" w:eastAsiaTheme="minorHAnsi" w:hAnsi="Times New Roman" w:cstheme="minorBidi"/>
      <w:sz w:val="24"/>
      <w:szCs w:val="24"/>
    </w:rPr>
  </w:style>
  <w:style w:type="paragraph" w:styleId="Index2">
    <w:name w:val="index 2"/>
    <w:basedOn w:val="Normal"/>
    <w:next w:val="Normal"/>
    <w:autoRedefine/>
    <w:uiPriority w:val="99"/>
    <w:semiHidden/>
    <w:unhideWhenUsed/>
    <w:rsid w:val="002C207B"/>
    <w:pPr>
      <w:spacing w:line="240" w:lineRule="exact"/>
      <w:ind w:left="440" w:hanging="220"/>
    </w:pPr>
    <w:rPr>
      <w:rFonts w:ascii="Times New Roman" w:eastAsiaTheme="minorHAnsi" w:hAnsi="Times New Roman" w:cstheme="minorBidi"/>
      <w:sz w:val="24"/>
      <w:szCs w:val="24"/>
    </w:rPr>
  </w:style>
  <w:style w:type="paragraph" w:styleId="Index3">
    <w:name w:val="index 3"/>
    <w:basedOn w:val="Normal"/>
    <w:next w:val="Normal"/>
    <w:autoRedefine/>
    <w:uiPriority w:val="99"/>
    <w:semiHidden/>
    <w:unhideWhenUsed/>
    <w:rsid w:val="002C207B"/>
    <w:pPr>
      <w:spacing w:line="240" w:lineRule="exact"/>
      <w:ind w:left="660" w:hanging="220"/>
    </w:pPr>
    <w:rPr>
      <w:rFonts w:ascii="Times New Roman" w:eastAsiaTheme="minorHAnsi" w:hAnsi="Times New Roman" w:cstheme="minorBidi"/>
      <w:sz w:val="24"/>
      <w:szCs w:val="24"/>
    </w:rPr>
  </w:style>
  <w:style w:type="paragraph" w:styleId="Index4">
    <w:name w:val="index 4"/>
    <w:basedOn w:val="Normal"/>
    <w:next w:val="Normal"/>
    <w:autoRedefine/>
    <w:uiPriority w:val="99"/>
    <w:semiHidden/>
    <w:unhideWhenUsed/>
    <w:rsid w:val="002C207B"/>
    <w:pPr>
      <w:spacing w:line="240" w:lineRule="exact"/>
      <w:ind w:left="880" w:hanging="220"/>
    </w:pPr>
    <w:rPr>
      <w:rFonts w:ascii="Times New Roman" w:eastAsiaTheme="minorHAnsi" w:hAnsi="Times New Roman" w:cstheme="minorBidi"/>
      <w:sz w:val="24"/>
      <w:szCs w:val="24"/>
    </w:rPr>
  </w:style>
  <w:style w:type="paragraph" w:styleId="Index5">
    <w:name w:val="index 5"/>
    <w:basedOn w:val="Normal"/>
    <w:next w:val="Normal"/>
    <w:autoRedefine/>
    <w:uiPriority w:val="99"/>
    <w:semiHidden/>
    <w:unhideWhenUsed/>
    <w:rsid w:val="002C207B"/>
    <w:pPr>
      <w:spacing w:line="240" w:lineRule="exact"/>
      <w:ind w:left="1100" w:hanging="220"/>
    </w:pPr>
    <w:rPr>
      <w:rFonts w:ascii="Times New Roman" w:eastAsiaTheme="minorHAnsi" w:hAnsi="Times New Roman" w:cstheme="minorBidi"/>
      <w:sz w:val="24"/>
      <w:szCs w:val="24"/>
    </w:rPr>
  </w:style>
  <w:style w:type="paragraph" w:styleId="Index6">
    <w:name w:val="index 6"/>
    <w:basedOn w:val="Normal"/>
    <w:next w:val="Normal"/>
    <w:autoRedefine/>
    <w:uiPriority w:val="99"/>
    <w:semiHidden/>
    <w:unhideWhenUsed/>
    <w:rsid w:val="002C207B"/>
    <w:pPr>
      <w:spacing w:line="240" w:lineRule="exact"/>
      <w:ind w:left="1320" w:hanging="220"/>
    </w:pPr>
    <w:rPr>
      <w:rFonts w:ascii="Times New Roman" w:eastAsiaTheme="minorHAnsi" w:hAnsi="Times New Roman" w:cstheme="minorBidi"/>
      <w:sz w:val="24"/>
      <w:szCs w:val="24"/>
    </w:rPr>
  </w:style>
  <w:style w:type="paragraph" w:styleId="Index7">
    <w:name w:val="index 7"/>
    <w:basedOn w:val="Normal"/>
    <w:next w:val="Normal"/>
    <w:autoRedefine/>
    <w:uiPriority w:val="99"/>
    <w:semiHidden/>
    <w:unhideWhenUsed/>
    <w:rsid w:val="002C207B"/>
    <w:pPr>
      <w:spacing w:line="240" w:lineRule="exact"/>
      <w:ind w:left="1540" w:hanging="220"/>
    </w:pPr>
    <w:rPr>
      <w:rFonts w:ascii="Times New Roman" w:eastAsiaTheme="minorHAnsi" w:hAnsi="Times New Roman" w:cstheme="minorBidi"/>
      <w:sz w:val="24"/>
      <w:szCs w:val="24"/>
    </w:rPr>
  </w:style>
  <w:style w:type="paragraph" w:styleId="Index8">
    <w:name w:val="index 8"/>
    <w:basedOn w:val="Normal"/>
    <w:next w:val="Normal"/>
    <w:autoRedefine/>
    <w:uiPriority w:val="99"/>
    <w:semiHidden/>
    <w:unhideWhenUsed/>
    <w:rsid w:val="002C207B"/>
    <w:pPr>
      <w:spacing w:line="240" w:lineRule="exact"/>
      <w:ind w:left="1760" w:hanging="220"/>
    </w:pPr>
    <w:rPr>
      <w:rFonts w:ascii="Times New Roman" w:eastAsiaTheme="minorHAnsi" w:hAnsi="Times New Roman" w:cstheme="minorBidi"/>
      <w:sz w:val="24"/>
      <w:szCs w:val="24"/>
    </w:rPr>
  </w:style>
  <w:style w:type="paragraph" w:styleId="Index9">
    <w:name w:val="index 9"/>
    <w:basedOn w:val="Normal"/>
    <w:next w:val="Normal"/>
    <w:autoRedefine/>
    <w:uiPriority w:val="99"/>
    <w:semiHidden/>
    <w:unhideWhenUsed/>
    <w:rsid w:val="002C207B"/>
    <w:pPr>
      <w:spacing w:line="240" w:lineRule="exact"/>
      <w:ind w:left="1980" w:hanging="220"/>
    </w:pPr>
    <w:rPr>
      <w:rFonts w:ascii="Times New Roman" w:eastAsiaTheme="minorHAnsi" w:hAnsi="Times New Roman" w:cstheme="minorBidi"/>
      <w:sz w:val="24"/>
      <w:szCs w:val="24"/>
    </w:rPr>
  </w:style>
  <w:style w:type="paragraph" w:styleId="IndexHeading">
    <w:name w:val="index heading"/>
    <w:basedOn w:val="Normal"/>
    <w:next w:val="Index1"/>
    <w:uiPriority w:val="99"/>
    <w:semiHidden/>
    <w:unhideWhenUsed/>
    <w:rsid w:val="002C207B"/>
    <w:pPr>
      <w:spacing w:line="240" w:lineRule="exact"/>
    </w:pPr>
    <w:rPr>
      <w:rFonts w:asciiTheme="majorHAnsi" w:eastAsiaTheme="majorEastAsia" w:hAnsiTheme="majorHAnsi" w:cstheme="majorBidi"/>
      <w:b/>
      <w:bCs/>
      <w:sz w:val="24"/>
      <w:szCs w:val="24"/>
    </w:rPr>
  </w:style>
  <w:style w:type="paragraph" w:styleId="IntenseQuote">
    <w:name w:val="Intense Quote"/>
    <w:basedOn w:val="Normal"/>
    <w:next w:val="Normal"/>
    <w:link w:val="IntenseQuoteChar"/>
    <w:uiPriority w:val="30"/>
    <w:unhideWhenUsed/>
    <w:qFormat/>
    <w:rsid w:val="002C207B"/>
    <w:pPr>
      <w:pBdr>
        <w:bottom w:val="single" w:sz="4" w:space="4" w:color="4F81BD" w:themeColor="accent1"/>
      </w:pBdr>
      <w:spacing w:before="200" w:after="280" w:line="240" w:lineRule="exact"/>
      <w:ind w:left="936" w:right="936"/>
    </w:pPr>
    <w:rPr>
      <w:rFonts w:ascii="Times New Roman" w:eastAsiaTheme="minorHAnsi" w:hAnsi="Times New Roman" w:cstheme="minorBidi"/>
      <w:b/>
      <w:bCs/>
      <w:i/>
      <w:iCs/>
      <w:color w:val="4F81BD" w:themeColor="accent1"/>
      <w:sz w:val="24"/>
      <w:szCs w:val="24"/>
    </w:rPr>
  </w:style>
  <w:style w:type="character" w:customStyle="1" w:styleId="IntenseQuoteChar">
    <w:name w:val="Intense Quote Char"/>
    <w:basedOn w:val="DefaultParagraphFont"/>
    <w:link w:val="IntenseQuote"/>
    <w:uiPriority w:val="30"/>
    <w:rsid w:val="002C207B"/>
    <w:rPr>
      <w:rFonts w:eastAsiaTheme="minorHAnsi" w:cstheme="minorBidi"/>
      <w:b/>
      <w:bCs/>
      <w:i/>
      <w:iCs/>
      <w:color w:val="4F81BD" w:themeColor="accent1"/>
      <w:sz w:val="24"/>
      <w:szCs w:val="24"/>
    </w:rPr>
  </w:style>
  <w:style w:type="paragraph" w:styleId="List">
    <w:name w:val="List"/>
    <w:basedOn w:val="Normal"/>
    <w:uiPriority w:val="99"/>
    <w:semiHidden/>
    <w:unhideWhenUsed/>
    <w:rsid w:val="002C207B"/>
    <w:pPr>
      <w:spacing w:line="240" w:lineRule="exact"/>
      <w:ind w:left="360" w:hanging="360"/>
      <w:contextualSpacing/>
    </w:pPr>
    <w:rPr>
      <w:rFonts w:ascii="Times New Roman" w:eastAsiaTheme="minorHAnsi" w:hAnsi="Times New Roman" w:cstheme="minorBidi"/>
      <w:sz w:val="24"/>
      <w:szCs w:val="24"/>
    </w:rPr>
  </w:style>
  <w:style w:type="paragraph" w:styleId="List2">
    <w:name w:val="List 2"/>
    <w:basedOn w:val="Normal"/>
    <w:uiPriority w:val="99"/>
    <w:semiHidden/>
    <w:unhideWhenUsed/>
    <w:rsid w:val="002C207B"/>
    <w:pPr>
      <w:spacing w:line="240" w:lineRule="exact"/>
      <w:ind w:left="720" w:hanging="360"/>
      <w:contextualSpacing/>
    </w:pPr>
    <w:rPr>
      <w:rFonts w:ascii="Times New Roman" w:eastAsiaTheme="minorHAnsi" w:hAnsi="Times New Roman" w:cstheme="minorBidi"/>
      <w:sz w:val="24"/>
      <w:szCs w:val="24"/>
    </w:rPr>
  </w:style>
  <w:style w:type="paragraph" w:styleId="List3">
    <w:name w:val="List 3"/>
    <w:basedOn w:val="Normal"/>
    <w:uiPriority w:val="99"/>
    <w:semiHidden/>
    <w:unhideWhenUsed/>
    <w:rsid w:val="002C207B"/>
    <w:pPr>
      <w:spacing w:line="240" w:lineRule="exact"/>
      <w:ind w:left="1080" w:hanging="360"/>
      <w:contextualSpacing/>
    </w:pPr>
    <w:rPr>
      <w:rFonts w:ascii="Times New Roman" w:eastAsiaTheme="minorHAnsi" w:hAnsi="Times New Roman" w:cstheme="minorBidi"/>
      <w:sz w:val="24"/>
      <w:szCs w:val="24"/>
    </w:rPr>
  </w:style>
  <w:style w:type="paragraph" w:styleId="List4">
    <w:name w:val="List 4"/>
    <w:basedOn w:val="Normal"/>
    <w:uiPriority w:val="99"/>
    <w:semiHidden/>
    <w:unhideWhenUsed/>
    <w:rsid w:val="002C207B"/>
    <w:pPr>
      <w:spacing w:line="240" w:lineRule="exact"/>
      <w:ind w:left="1440" w:hanging="360"/>
      <w:contextualSpacing/>
    </w:pPr>
    <w:rPr>
      <w:rFonts w:ascii="Times New Roman" w:eastAsiaTheme="minorHAnsi" w:hAnsi="Times New Roman" w:cstheme="minorBidi"/>
      <w:sz w:val="24"/>
      <w:szCs w:val="24"/>
    </w:rPr>
  </w:style>
  <w:style w:type="paragraph" w:styleId="List5">
    <w:name w:val="List 5"/>
    <w:basedOn w:val="Normal"/>
    <w:uiPriority w:val="99"/>
    <w:semiHidden/>
    <w:unhideWhenUsed/>
    <w:rsid w:val="002C207B"/>
    <w:pPr>
      <w:spacing w:line="240" w:lineRule="exact"/>
      <w:ind w:left="1800" w:hanging="360"/>
      <w:contextualSpacing/>
    </w:pPr>
    <w:rPr>
      <w:rFonts w:ascii="Times New Roman" w:eastAsiaTheme="minorHAnsi" w:hAnsi="Times New Roman" w:cstheme="minorBidi"/>
      <w:sz w:val="24"/>
      <w:szCs w:val="24"/>
    </w:rPr>
  </w:style>
  <w:style w:type="paragraph" w:styleId="ListContinue">
    <w:name w:val="List Continue"/>
    <w:basedOn w:val="Normal"/>
    <w:uiPriority w:val="99"/>
    <w:semiHidden/>
    <w:unhideWhenUsed/>
    <w:rsid w:val="002C207B"/>
    <w:pPr>
      <w:spacing w:after="120" w:line="240" w:lineRule="exact"/>
      <w:ind w:left="360"/>
      <w:contextualSpacing/>
    </w:pPr>
    <w:rPr>
      <w:rFonts w:ascii="Times New Roman" w:eastAsiaTheme="minorHAnsi" w:hAnsi="Times New Roman" w:cstheme="minorBidi"/>
      <w:sz w:val="24"/>
      <w:szCs w:val="24"/>
    </w:rPr>
  </w:style>
  <w:style w:type="paragraph" w:styleId="ListContinue2">
    <w:name w:val="List Continue 2"/>
    <w:basedOn w:val="Normal"/>
    <w:uiPriority w:val="99"/>
    <w:semiHidden/>
    <w:unhideWhenUsed/>
    <w:rsid w:val="002C207B"/>
    <w:pPr>
      <w:spacing w:after="120" w:line="240" w:lineRule="exact"/>
      <w:ind w:left="720"/>
      <w:contextualSpacing/>
    </w:pPr>
    <w:rPr>
      <w:rFonts w:ascii="Times New Roman" w:eastAsiaTheme="minorHAnsi" w:hAnsi="Times New Roman" w:cstheme="minorBidi"/>
      <w:sz w:val="24"/>
      <w:szCs w:val="24"/>
    </w:rPr>
  </w:style>
  <w:style w:type="paragraph" w:styleId="ListContinue3">
    <w:name w:val="List Continue 3"/>
    <w:basedOn w:val="Normal"/>
    <w:uiPriority w:val="99"/>
    <w:semiHidden/>
    <w:unhideWhenUsed/>
    <w:rsid w:val="002C207B"/>
    <w:pPr>
      <w:spacing w:after="120" w:line="240" w:lineRule="exact"/>
      <w:ind w:left="1080"/>
      <w:contextualSpacing/>
    </w:pPr>
    <w:rPr>
      <w:rFonts w:ascii="Times New Roman" w:eastAsiaTheme="minorHAnsi" w:hAnsi="Times New Roman" w:cstheme="minorBidi"/>
      <w:sz w:val="24"/>
      <w:szCs w:val="24"/>
    </w:rPr>
  </w:style>
  <w:style w:type="paragraph" w:styleId="ListContinue4">
    <w:name w:val="List Continue 4"/>
    <w:basedOn w:val="Normal"/>
    <w:uiPriority w:val="99"/>
    <w:semiHidden/>
    <w:unhideWhenUsed/>
    <w:rsid w:val="002C207B"/>
    <w:pPr>
      <w:spacing w:after="120" w:line="240" w:lineRule="exact"/>
      <w:ind w:left="1440"/>
      <w:contextualSpacing/>
    </w:pPr>
    <w:rPr>
      <w:rFonts w:ascii="Times New Roman" w:eastAsiaTheme="minorHAnsi" w:hAnsi="Times New Roman" w:cstheme="minorBidi"/>
      <w:sz w:val="24"/>
      <w:szCs w:val="24"/>
    </w:rPr>
  </w:style>
  <w:style w:type="paragraph" w:styleId="ListContinue5">
    <w:name w:val="List Continue 5"/>
    <w:basedOn w:val="Normal"/>
    <w:uiPriority w:val="99"/>
    <w:semiHidden/>
    <w:unhideWhenUsed/>
    <w:rsid w:val="002C207B"/>
    <w:pPr>
      <w:spacing w:after="120" w:line="240" w:lineRule="exact"/>
      <w:ind w:left="1800"/>
      <w:contextualSpacing/>
    </w:pPr>
    <w:rPr>
      <w:rFonts w:ascii="Times New Roman" w:eastAsiaTheme="minorHAnsi" w:hAnsi="Times New Roman" w:cstheme="minorBidi"/>
      <w:sz w:val="24"/>
      <w:szCs w:val="24"/>
    </w:rPr>
  </w:style>
  <w:style w:type="paragraph" w:styleId="ListNumber">
    <w:name w:val="List Number"/>
    <w:basedOn w:val="Normal"/>
    <w:uiPriority w:val="99"/>
    <w:semiHidden/>
    <w:unhideWhenUsed/>
    <w:rsid w:val="002C207B"/>
    <w:pPr>
      <w:numPr>
        <w:numId w:val="11"/>
      </w:numPr>
      <w:spacing w:line="240" w:lineRule="exact"/>
      <w:contextualSpacing/>
    </w:pPr>
    <w:rPr>
      <w:rFonts w:ascii="Times New Roman" w:eastAsiaTheme="minorHAnsi" w:hAnsi="Times New Roman" w:cstheme="minorBidi"/>
      <w:sz w:val="24"/>
      <w:szCs w:val="24"/>
    </w:rPr>
  </w:style>
  <w:style w:type="paragraph" w:styleId="ListNumber2">
    <w:name w:val="List Number 2"/>
    <w:basedOn w:val="Normal"/>
    <w:uiPriority w:val="99"/>
    <w:semiHidden/>
    <w:unhideWhenUsed/>
    <w:rsid w:val="002C207B"/>
    <w:pPr>
      <w:numPr>
        <w:numId w:val="12"/>
      </w:numPr>
      <w:spacing w:line="240" w:lineRule="exact"/>
      <w:contextualSpacing/>
    </w:pPr>
    <w:rPr>
      <w:rFonts w:ascii="Times New Roman" w:eastAsiaTheme="minorHAnsi" w:hAnsi="Times New Roman" w:cstheme="minorBidi"/>
      <w:sz w:val="24"/>
      <w:szCs w:val="24"/>
    </w:rPr>
  </w:style>
  <w:style w:type="paragraph" w:styleId="ListNumber3">
    <w:name w:val="List Number 3"/>
    <w:basedOn w:val="Normal"/>
    <w:uiPriority w:val="99"/>
    <w:semiHidden/>
    <w:unhideWhenUsed/>
    <w:rsid w:val="002C207B"/>
    <w:pPr>
      <w:numPr>
        <w:numId w:val="13"/>
      </w:numPr>
      <w:spacing w:line="240" w:lineRule="exact"/>
      <w:contextualSpacing/>
    </w:pPr>
    <w:rPr>
      <w:rFonts w:ascii="Times New Roman" w:eastAsiaTheme="minorHAnsi" w:hAnsi="Times New Roman" w:cstheme="minorBidi"/>
      <w:sz w:val="24"/>
      <w:szCs w:val="24"/>
    </w:rPr>
  </w:style>
  <w:style w:type="paragraph" w:styleId="ListNumber4">
    <w:name w:val="List Number 4"/>
    <w:basedOn w:val="Normal"/>
    <w:uiPriority w:val="99"/>
    <w:semiHidden/>
    <w:unhideWhenUsed/>
    <w:rsid w:val="002C207B"/>
    <w:pPr>
      <w:numPr>
        <w:numId w:val="14"/>
      </w:numPr>
      <w:spacing w:line="240" w:lineRule="exact"/>
      <w:contextualSpacing/>
    </w:pPr>
    <w:rPr>
      <w:rFonts w:ascii="Times New Roman" w:eastAsiaTheme="minorHAnsi" w:hAnsi="Times New Roman" w:cstheme="minorBidi"/>
      <w:sz w:val="24"/>
      <w:szCs w:val="24"/>
    </w:rPr>
  </w:style>
  <w:style w:type="paragraph" w:styleId="ListNumber5">
    <w:name w:val="List Number 5"/>
    <w:basedOn w:val="Normal"/>
    <w:uiPriority w:val="99"/>
    <w:semiHidden/>
    <w:unhideWhenUsed/>
    <w:rsid w:val="002C207B"/>
    <w:pPr>
      <w:numPr>
        <w:numId w:val="15"/>
      </w:numPr>
      <w:spacing w:line="240" w:lineRule="exact"/>
      <w:contextualSpacing/>
    </w:pPr>
    <w:rPr>
      <w:rFonts w:ascii="Times New Roman" w:eastAsiaTheme="minorHAnsi" w:hAnsi="Times New Roman" w:cstheme="minorBidi"/>
      <w:sz w:val="24"/>
      <w:szCs w:val="24"/>
    </w:rPr>
  </w:style>
  <w:style w:type="paragraph" w:styleId="MacroText">
    <w:name w:val="macro"/>
    <w:link w:val="MacroTextChar"/>
    <w:uiPriority w:val="99"/>
    <w:semiHidden/>
    <w:unhideWhenUsed/>
    <w:rsid w:val="002C207B"/>
    <w:pPr>
      <w:tabs>
        <w:tab w:val="left" w:pos="480"/>
        <w:tab w:val="left" w:pos="960"/>
        <w:tab w:val="left" w:pos="1440"/>
        <w:tab w:val="left" w:pos="1920"/>
        <w:tab w:val="left" w:pos="2400"/>
        <w:tab w:val="left" w:pos="2880"/>
        <w:tab w:val="left" w:pos="3360"/>
        <w:tab w:val="left" w:pos="3840"/>
        <w:tab w:val="left" w:pos="4320"/>
      </w:tabs>
    </w:pPr>
    <w:rPr>
      <w:rFonts w:ascii="Consolas" w:eastAsiaTheme="minorHAnsi" w:hAnsi="Consolas" w:cstheme="minorBidi"/>
    </w:rPr>
  </w:style>
  <w:style w:type="character" w:customStyle="1" w:styleId="MacroTextChar">
    <w:name w:val="Macro Text Char"/>
    <w:basedOn w:val="DefaultParagraphFont"/>
    <w:link w:val="MacroText"/>
    <w:uiPriority w:val="99"/>
    <w:semiHidden/>
    <w:rsid w:val="002C207B"/>
    <w:rPr>
      <w:rFonts w:ascii="Consolas" w:eastAsiaTheme="minorHAnsi" w:hAnsi="Consolas" w:cstheme="minorBidi"/>
    </w:rPr>
  </w:style>
  <w:style w:type="paragraph" w:styleId="MessageHeader">
    <w:name w:val="Message Header"/>
    <w:basedOn w:val="Normal"/>
    <w:link w:val="MessageHeaderChar"/>
    <w:uiPriority w:val="99"/>
    <w:semiHidden/>
    <w:unhideWhenUsed/>
    <w:rsid w:val="002C207B"/>
    <w:pPr>
      <w:pBdr>
        <w:top w:val="single" w:sz="6" w:space="1" w:color="auto"/>
        <w:left w:val="single" w:sz="6" w:space="1" w:color="auto"/>
        <w:bottom w:val="single" w:sz="6" w:space="1" w:color="auto"/>
        <w:right w:val="single" w:sz="6" w:space="1" w:color="auto"/>
      </w:pBdr>
      <w:shd w:val="pct20" w:color="auto" w:fill="auto"/>
      <w:spacing w:line="240" w:lineRule="exact"/>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2C207B"/>
    <w:rPr>
      <w:rFonts w:asciiTheme="majorHAnsi" w:eastAsiaTheme="majorEastAsia" w:hAnsiTheme="majorHAnsi" w:cstheme="majorBidi"/>
      <w:sz w:val="24"/>
      <w:szCs w:val="24"/>
      <w:shd w:val="pct20" w:color="auto" w:fill="auto"/>
    </w:rPr>
  </w:style>
  <w:style w:type="paragraph" w:styleId="NoSpacing">
    <w:name w:val="No Spacing"/>
    <w:uiPriority w:val="1"/>
    <w:unhideWhenUsed/>
    <w:qFormat/>
    <w:rsid w:val="002C207B"/>
    <w:rPr>
      <w:rFonts w:eastAsiaTheme="minorHAnsi" w:cstheme="minorBidi"/>
      <w:sz w:val="24"/>
      <w:szCs w:val="24"/>
    </w:rPr>
  </w:style>
  <w:style w:type="paragraph" w:styleId="NormalIndent">
    <w:name w:val="Normal Indent"/>
    <w:basedOn w:val="Normal"/>
    <w:uiPriority w:val="99"/>
    <w:semiHidden/>
    <w:unhideWhenUsed/>
    <w:rsid w:val="002C207B"/>
    <w:pPr>
      <w:spacing w:line="240" w:lineRule="exact"/>
      <w:ind w:left="720"/>
    </w:pPr>
    <w:rPr>
      <w:rFonts w:ascii="Times New Roman" w:eastAsiaTheme="minorHAnsi" w:hAnsi="Times New Roman" w:cstheme="minorBidi"/>
      <w:sz w:val="24"/>
      <w:szCs w:val="24"/>
    </w:rPr>
  </w:style>
  <w:style w:type="paragraph" w:styleId="PlainText">
    <w:name w:val="Plain Text"/>
    <w:basedOn w:val="Normal"/>
    <w:link w:val="PlainTextChar"/>
    <w:uiPriority w:val="99"/>
    <w:semiHidden/>
    <w:unhideWhenUsed/>
    <w:rsid w:val="002C207B"/>
    <w:pPr>
      <w:spacing w:line="240" w:lineRule="exact"/>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semiHidden/>
    <w:rsid w:val="002C207B"/>
    <w:rPr>
      <w:rFonts w:ascii="Consolas" w:eastAsiaTheme="minorHAnsi" w:hAnsi="Consolas" w:cstheme="minorBidi"/>
      <w:sz w:val="21"/>
      <w:szCs w:val="21"/>
    </w:rPr>
  </w:style>
  <w:style w:type="paragraph" w:styleId="Quote">
    <w:name w:val="Quote"/>
    <w:basedOn w:val="Normal"/>
    <w:next w:val="Normal"/>
    <w:link w:val="QuoteChar"/>
    <w:uiPriority w:val="29"/>
    <w:unhideWhenUsed/>
    <w:qFormat/>
    <w:rsid w:val="002C207B"/>
    <w:pPr>
      <w:spacing w:line="240" w:lineRule="exact"/>
    </w:pPr>
    <w:rPr>
      <w:rFonts w:ascii="Times New Roman" w:eastAsiaTheme="minorHAnsi" w:hAnsi="Times New Roman" w:cstheme="minorBidi"/>
      <w:i/>
      <w:iCs/>
      <w:color w:val="000000" w:themeColor="text1"/>
      <w:sz w:val="24"/>
      <w:szCs w:val="24"/>
    </w:rPr>
  </w:style>
  <w:style w:type="character" w:customStyle="1" w:styleId="QuoteChar">
    <w:name w:val="Quote Char"/>
    <w:basedOn w:val="DefaultParagraphFont"/>
    <w:link w:val="Quote"/>
    <w:uiPriority w:val="29"/>
    <w:rsid w:val="002C207B"/>
    <w:rPr>
      <w:rFonts w:eastAsiaTheme="minorHAnsi" w:cstheme="minorBidi"/>
      <w:i/>
      <w:iCs/>
      <w:color w:val="000000" w:themeColor="text1"/>
      <w:sz w:val="24"/>
      <w:szCs w:val="24"/>
    </w:rPr>
  </w:style>
  <w:style w:type="paragraph" w:styleId="Salutation">
    <w:name w:val="Salutation"/>
    <w:basedOn w:val="Normal"/>
    <w:next w:val="Normal"/>
    <w:link w:val="SalutationChar"/>
    <w:uiPriority w:val="99"/>
    <w:semiHidden/>
    <w:unhideWhenUsed/>
    <w:rsid w:val="002C207B"/>
    <w:pPr>
      <w:spacing w:line="240" w:lineRule="exact"/>
    </w:pPr>
    <w:rPr>
      <w:rFonts w:ascii="Times New Roman" w:eastAsiaTheme="minorHAnsi" w:hAnsi="Times New Roman" w:cstheme="minorBidi"/>
      <w:sz w:val="24"/>
      <w:szCs w:val="24"/>
    </w:rPr>
  </w:style>
  <w:style w:type="character" w:customStyle="1" w:styleId="SalutationChar">
    <w:name w:val="Salutation Char"/>
    <w:basedOn w:val="DefaultParagraphFont"/>
    <w:link w:val="Salutation"/>
    <w:uiPriority w:val="99"/>
    <w:semiHidden/>
    <w:rsid w:val="002C207B"/>
    <w:rPr>
      <w:rFonts w:eastAsiaTheme="minorHAnsi" w:cstheme="minorBidi"/>
      <w:sz w:val="24"/>
      <w:szCs w:val="24"/>
    </w:rPr>
  </w:style>
  <w:style w:type="paragraph" w:styleId="Signature">
    <w:name w:val="Signature"/>
    <w:basedOn w:val="Normal"/>
    <w:link w:val="SignatureChar"/>
    <w:uiPriority w:val="19"/>
    <w:qFormat/>
    <w:rsid w:val="002C207B"/>
    <w:pPr>
      <w:spacing w:line="240" w:lineRule="exact"/>
      <w:ind w:left="4320"/>
    </w:pPr>
    <w:rPr>
      <w:rFonts w:ascii="Times New Roman" w:eastAsiaTheme="minorHAnsi" w:hAnsi="Times New Roman" w:cstheme="minorBidi"/>
      <w:sz w:val="24"/>
      <w:szCs w:val="24"/>
    </w:rPr>
  </w:style>
  <w:style w:type="character" w:customStyle="1" w:styleId="SignatureChar">
    <w:name w:val="Signature Char"/>
    <w:basedOn w:val="DefaultParagraphFont"/>
    <w:link w:val="Signature"/>
    <w:uiPriority w:val="19"/>
    <w:rsid w:val="002C207B"/>
    <w:rPr>
      <w:rFonts w:eastAsiaTheme="minorHAnsi" w:cstheme="minorBidi"/>
      <w:sz w:val="24"/>
      <w:szCs w:val="24"/>
    </w:rPr>
  </w:style>
  <w:style w:type="paragraph" w:styleId="Subtitle">
    <w:name w:val="Subtitle"/>
    <w:basedOn w:val="Normal"/>
    <w:next w:val="BodyText"/>
    <w:link w:val="SubtitleChar"/>
    <w:uiPriority w:val="24"/>
    <w:qFormat/>
    <w:rsid w:val="002C207B"/>
    <w:pPr>
      <w:numPr>
        <w:ilvl w:val="1"/>
      </w:numPr>
      <w:spacing w:after="480" w:line="240" w:lineRule="exact"/>
      <w:jc w:val="center"/>
    </w:pPr>
    <w:rPr>
      <w:rFonts w:ascii="Times New Roman" w:eastAsiaTheme="majorEastAsia" w:hAnsi="Times New Roman" w:cstheme="majorBidi"/>
      <w:b/>
      <w:iCs/>
      <w:kern w:val="28"/>
      <w:sz w:val="24"/>
      <w:szCs w:val="24"/>
    </w:rPr>
  </w:style>
  <w:style w:type="character" w:customStyle="1" w:styleId="SubtitleChar">
    <w:name w:val="Subtitle Char"/>
    <w:basedOn w:val="DefaultParagraphFont"/>
    <w:link w:val="Subtitle"/>
    <w:uiPriority w:val="24"/>
    <w:rsid w:val="002C207B"/>
    <w:rPr>
      <w:rFonts w:eastAsiaTheme="majorEastAsia" w:cstheme="majorBidi"/>
      <w:b/>
      <w:iCs/>
      <w:kern w:val="28"/>
      <w:sz w:val="24"/>
      <w:szCs w:val="24"/>
    </w:rPr>
  </w:style>
  <w:style w:type="paragraph" w:styleId="TableofAuthorities">
    <w:name w:val="table of authorities"/>
    <w:basedOn w:val="Normal"/>
    <w:next w:val="Normal"/>
    <w:uiPriority w:val="99"/>
    <w:semiHidden/>
    <w:unhideWhenUsed/>
    <w:rsid w:val="002C207B"/>
    <w:pPr>
      <w:spacing w:line="240" w:lineRule="exact"/>
      <w:ind w:left="220" w:hanging="220"/>
    </w:pPr>
    <w:rPr>
      <w:rFonts w:ascii="Times New Roman" w:eastAsiaTheme="minorHAnsi" w:hAnsi="Times New Roman" w:cstheme="minorBidi"/>
      <w:sz w:val="24"/>
      <w:szCs w:val="24"/>
    </w:rPr>
  </w:style>
  <w:style w:type="paragraph" w:styleId="TableofFigures">
    <w:name w:val="table of figures"/>
    <w:basedOn w:val="Normal"/>
    <w:next w:val="Normal"/>
    <w:uiPriority w:val="99"/>
    <w:semiHidden/>
    <w:unhideWhenUsed/>
    <w:rsid w:val="002C207B"/>
    <w:pPr>
      <w:spacing w:line="240" w:lineRule="exact"/>
    </w:pPr>
    <w:rPr>
      <w:rFonts w:ascii="Times New Roman" w:eastAsiaTheme="minorHAnsi" w:hAnsi="Times New Roman" w:cstheme="minorBidi"/>
      <w:sz w:val="24"/>
      <w:szCs w:val="24"/>
    </w:rPr>
  </w:style>
  <w:style w:type="paragraph" w:styleId="TOAHeading">
    <w:name w:val="toa heading"/>
    <w:basedOn w:val="Normal"/>
    <w:next w:val="Normal"/>
    <w:uiPriority w:val="99"/>
    <w:semiHidden/>
    <w:unhideWhenUsed/>
    <w:rsid w:val="002C207B"/>
    <w:pPr>
      <w:spacing w:before="120" w:line="240" w:lineRule="exact"/>
    </w:pPr>
    <w:rPr>
      <w:rFonts w:asciiTheme="majorHAnsi" w:eastAsiaTheme="majorEastAsia" w:hAnsiTheme="majorHAnsi" w:cstheme="majorBidi"/>
      <w:b/>
      <w:bCs/>
      <w:sz w:val="24"/>
      <w:szCs w:val="24"/>
    </w:rPr>
  </w:style>
  <w:style w:type="character" w:styleId="BookTitle">
    <w:name w:val="Book Title"/>
    <w:basedOn w:val="DefaultParagraphFont"/>
    <w:uiPriority w:val="33"/>
    <w:unhideWhenUsed/>
    <w:qFormat/>
    <w:rsid w:val="002C207B"/>
    <w:rPr>
      <w:b/>
      <w:bCs/>
      <w:smallCaps/>
      <w:spacing w:val="5"/>
    </w:rPr>
  </w:style>
  <w:style w:type="character" w:styleId="HTMLAcronym">
    <w:name w:val="HTML Acronym"/>
    <w:basedOn w:val="DefaultParagraphFont"/>
    <w:uiPriority w:val="99"/>
    <w:semiHidden/>
    <w:unhideWhenUsed/>
    <w:rsid w:val="002C207B"/>
  </w:style>
  <w:style w:type="character" w:styleId="HTMLCite">
    <w:name w:val="HTML Cite"/>
    <w:basedOn w:val="DefaultParagraphFont"/>
    <w:uiPriority w:val="99"/>
    <w:semiHidden/>
    <w:unhideWhenUsed/>
    <w:rsid w:val="002C207B"/>
    <w:rPr>
      <w:i/>
      <w:iCs/>
    </w:rPr>
  </w:style>
  <w:style w:type="character" w:styleId="HTMLCode">
    <w:name w:val="HTML Code"/>
    <w:basedOn w:val="DefaultParagraphFont"/>
    <w:uiPriority w:val="99"/>
    <w:semiHidden/>
    <w:unhideWhenUsed/>
    <w:rsid w:val="002C207B"/>
    <w:rPr>
      <w:rFonts w:ascii="Consolas" w:hAnsi="Consolas" w:cs="Consolas"/>
      <w:sz w:val="20"/>
      <w:szCs w:val="20"/>
    </w:rPr>
  </w:style>
  <w:style w:type="character" w:styleId="HTMLDefinition">
    <w:name w:val="HTML Definition"/>
    <w:basedOn w:val="DefaultParagraphFont"/>
    <w:uiPriority w:val="99"/>
    <w:semiHidden/>
    <w:unhideWhenUsed/>
    <w:rsid w:val="002C207B"/>
    <w:rPr>
      <w:i/>
      <w:iCs/>
    </w:rPr>
  </w:style>
  <w:style w:type="character" w:styleId="HTMLKeyboard">
    <w:name w:val="HTML Keyboard"/>
    <w:basedOn w:val="DefaultParagraphFont"/>
    <w:uiPriority w:val="99"/>
    <w:semiHidden/>
    <w:unhideWhenUsed/>
    <w:rsid w:val="002C207B"/>
    <w:rPr>
      <w:rFonts w:ascii="Consolas" w:hAnsi="Consolas" w:cs="Consolas"/>
      <w:sz w:val="20"/>
      <w:szCs w:val="20"/>
    </w:rPr>
  </w:style>
  <w:style w:type="character" w:styleId="HTMLSample">
    <w:name w:val="HTML Sample"/>
    <w:basedOn w:val="DefaultParagraphFont"/>
    <w:uiPriority w:val="99"/>
    <w:semiHidden/>
    <w:unhideWhenUsed/>
    <w:rsid w:val="002C207B"/>
    <w:rPr>
      <w:rFonts w:ascii="Consolas" w:hAnsi="Consolas" w:cs="Consolas"/>
      <w:sz w:val="24"/>
      <w:szCs w:val="24"/>
    </w:rPr>
  </w:style>
  <w:style w:type="character" w:styleId="HTMLTypewriter">
    <w:name w:val="HTML Typewriter"/>
    <w:basedOn w:val="DefaultParagraphFont"/>
    <w:uiPriority w:val="99"/>
    <w:semiHidden/>
    <w:unhideWhenUsed/>
    <w:rsid w:val="002C207B"/>
    <w:rPr>
      <w:rFonts w:ascii="Consolas" w:hAnsi="Consolas" w:cs="Consolas"/>
      <w:sz w:val="20"/>
      <w:szCs w:val="20"/>
    </w:rPr>
  </w:style>
  <w:style w:type="character" w:styleId="HTMLVariable">
    <w:name w:val="HTML Variable"/>
    <w:basedOn w:val="DefaultParagraphFont"/>
    <w:uiPriority w:val="99"/>
    <w:semiHidden/>
    <w:unhideWhenUsed/>
    <w:rsid w:val="002C207B"/>
    <w:rPr>
      <w:i/>
      <w:iCs/>
    </w:rPr>
  </w:style>
  <w:style w:type="character" w:styleId="IntenseEmphasis">
    <w:name w:val="Intense Emphasis"/>
    <w:basedOn w:val="DefaultParagraphFont"/>
    <w:uiPriority w:val="21"/>
    <w:unhideWhenUsed/>
    <w:qFormat/>
    <w:rsid w:val="002C207B"/>
    <w:rPr>
      <w:b/>
      <w:bCs/>
      <w:i/>
      <w:iCs/>
      <w:color w:val="4F81BD" w:themeColor="accent1"/>
    </w:rPr>
  </w:style>
  <w:style w:type="character" w:styleId="IntenseReference">
    <w:name w:val="Intense Reference"/>
    <w:basedOn w:val="DefaultParagraphFont"/>
    <w:uiPriority w:val="32"/>
    <w:unhideWhenUsed/>
    <w:qFormat/>
    <w:rsid w:val="002C207B"/>
    <w:rPr>
      <w:b/>
      <w:bCs/>
      <w:smallCaps/>
      <w:color w:val="C0504D" w:themeColor="accent2"/>
      <w:spacing w:val="5"/>
      <w:u w:val="single"/>
    </w:rPr>
  </w:style>
  <w:style w:type="character" w:styleId="PlaceholderText">
    <w:name w:val="Placeholder Text"/>
    <w:basedOn w:val="DefaultParagraphFont"/>
    <w:uiPriority w:val="99"/>
    <w:semiHidden/>
    <w:rsid w:val="002C207B"/>
    <w:rPr>
      <w:color w:val="808080"/>
    </w:rPr>
  </w:style>
  <w:style w:type="character" w:styleId="SubtleEmphasis">
    <w:name w:val="Subtle Emphasis"/>
    <w:basedOn w:val="DefaultParagraphFont"/>
    <w:uiPriority w:val="19"/>
    <w:unhideWhenUsed/>
    <w:qFormat/>
    <w:rsid w:val="002C207B"/>
    <w:rPr>
      <w:i/>
      <w:iCs/>
      <w:color w:val="808080" w:themeColor="text1" w:themeTint="7F"/>
    </w:rPr>
  </w:style>
  <w:style w:type="character" w:styleId="SubtleReference">
    <w:name w:val="Subtle Reference"/>
    <w:basedOn w:val="DefaultParagraphFont"/>
    <w:uiPriority w:val="31"/>
    <w:unhideWhenUsed/>
    <w:qFormat/>
    <w:rsid w:val="002C207B"/>
    <w:rPr>
      <w:smallCaps/>
      <w:color w:val="C0504D" w:themeColor="accent2"/>
      <w:u w:val="single"/>
    </w:rPr>
  </w:style>
  <w:style w:type="paragraph" w:customStyle="1" w:styleId="HeaderNumbers">
    <w:name w:val="HeaderNumbers"/>
    <w:basedOn w:val="Normal"/>
    <w:rsid w:val="002C207B"/>
    <w:pPr>
      <w:spacing w:before="520" w:line="480" w:lineRule="exact"/>
      <w:ind w:left="-1166" w:right="10080"/>
      <w:jc w:val="right"/>
    </w:pPr>
    <w:rPr>
      <w:rFonts w:ascii="Times New Roman" w:hAnsi="Times New Roman"/>
      <w:noProof/>
      <w:sz w:val="24"/>
      <w:szCs w:val="24"/>
    </w:rPr>
  </w:style>
  <w:style w:type="paragraph" w:customStyle="1" w:styleId="TestimonyQ0">
    <w:name w:val="Testimony Q."/>
    <w:basedOn w:val="Normal"/>
    <w:rsid w:val="002C207B"/>
    <w:pPr>
      <w:widowControl w:val="0"/>
    </w:pPr>
    <w:rPr>
      <w:rFonts w:ascii="Times New Roman" w:hAnsi="Times New Roman"/>
      <w:sz w:val="24"/>
    </w:rPr>
  </w:style>
  <w:style w:type="paragraph" w:customStyle="1" w:styleId="1AutoList12">
    <w:name w:val="1AutoList12"/>
    <w:rsid w:val="002C207B"/>
    <w:pPr>
      <w:widowControl w:val="0"/>
      <w:tabs>
        <w:tab w:val="left" w:pos="720"/>
      </w:tabs>
      <w:ind w:left="720" w:hanging="720"/>
      <w:jc w:val="both"/>
    </w:pPr>
    <w:rPr>
      <w:snapToGrid w:val="0"/>
      <w:sz w:val="24"/>
      <w:szCs w:val="24"/>
    </w:rPr>
  </w:style>
  <w:style w:type="paragraph" w:customStyle="1" w:styleId="Normal1">
    <w:name w:val="Normal1"/>
    <w:rsid w:val="002C207B"/>
    <w:pPr>
      <w:spacing w:after="200" w:line="276" w:lineRule="auto"/>
    </w:pPr>
    <w:rPr>
      <w:rFonts w:ascii="Calibri" w:eastAsia="Calibri" w:hAnsi="Calibri" w:cs="Calibri"/>
      <w:color w:val="000000"/>
      <w:sz w:val="22"/>
    </w:rPr>
  </w:style>
  <w:style w:type="paragraph" w:customStyle="1" w:styleId="Complaintparagraph">
    <w:name w:val="Complaint paragraph"/>
    <w:basedOn w:val="Normal"/>
    <w:rsid w:val="002C207B"/>
    <w:pPr>
      <w:tabs>
        <w:tab w:val="left" w:pos="0"/>
      </w:tabs>
      <w:suppressAutoHyphens/>
      <w:spacing w:after="240" w:line="480" w:lineRule="auto"/>
      <w:jc w:val="both"/>
    </w:pPr>
    <w:rPr>
      <w:rFonts w:ascii="Times New Roman" w:hAnsi="Times New Roman"/>
      <w:bCs/>
      <w:spacing w:val="-3"/>
      <w:sz w:val="24"/>
      <w:szCs w:val="24"/>
    </w:rPr>
  </w:style>
  <w:style w:type="paragraph" w:customStyle="1" w:styleId="Bonbright">
    <w:name w:val="Bonbright"/>
    <w:basedOn w:val="ListParagraph"/>
    <w:rsid w:val="002C207B"/>
    <w:pPr>
      <w:numPr>
        <w:numId w:val="16"/>
      </w:numPr>
      <w:spacing w:after="240"/>
      <w:jc w:val="both"/>
    </w:pPr>
    <w:rPr>
      <w:rFonts w:ascii="Times New Roman" w:eastAsiaTheme="minorHAnsi" w:hAnsi="Times New Roman" w:cstheme="minorBidi"/>
      <w:bCs/>
      <w:sz w:val="24"/>
      <w:szCs w:val="24"/>
    </w:rPr>
  </w:style>
  <w:style w:type="paragraph" w:customStyle="1" w:styleId="Bonbright2">
    <w:name w:val="Bonbright2"/>
    <w:basedOn w:val="ListParagraph"/>
    <w:rsid w:val="002C207B"/>
    <w:pPr>
      <w:numPr>
        <w:numId w:val="17"/>
      </w:numPr>
      <w:spacing w:after="240"/>
      <w:ind w:left="1080"/>
      <w:jc w:val="both"/>
    </w:pPr>
    <w:rPr>
      <w:rFonts w:ascii="Times New Roman" w:eastAsiaTheme="minorHAnsi" w:hAnsi="Times New Roman" w:cstheme="minorBidi"/>
      <w:bCs/>
      <w:sz w:val="24"/>
      <w:szCs w:val="24"/>
    </w:rPr>
  </w:style>
  <w:style w:type="paragraph" w:customStyle="1" w:styleId="Body">
    <w:name w:val="Body"/>
    <w:rsid w:val="002C207B"/>
    <w:pPr>
      <w:pBdr>
        <w:top w:val="nil"/>
        <w:left w:val="nil"/>
        <w:bottom w:val="nil"/>
        <w:right w:val="nil"/>
        <w:between w:val="nil"/>
        <w:bar w:val="nil"/>
      </w:pBdr>
    </w:pPr>
    <w:rPr>
      <w:rFonts w:eastAsia="Arial Unicode MS" w:cs="Arial Unicode MS"/>
      <w:color w:val="000000"/>
      <w:sz w:val="24"/>
      <w:szCs w:val="24"/>
      <w:u w:color="000000"/>
      <w:bdr w:val="nil"/>
    </w:rPr>
  </w:style>
  <w:style w:type="paragraph" w:customStyle="1" w:styleId="TableParagraph">
    <w:name w:val="Table Paragraph"/>
    <w:basedOn w:val="Normal"/>
    <w:uiPriority w:val="1"/>
    <w:qFormat/>
    <w:rsid w:val="002C207B"/>
    <w:pPr>
      <w:widowControl w:val="0"/>
      <w:autoSpaceDE w:val="0"/>
      <w:autoSpaceDN w:val="0"/>
      <w:spacing w:before="1" w:line="183" w:lineRule="exact"/>
      <w:ind w:left="259" w:right="78"/>
      <w:jc w:val="center"/>
    </w:pPr>
    <w:rPr>
      <w:rFonts w:ascii="Cambria" w:eastAsia="Cambria" w:hAnsi="Cambria" w:cs="Cambria"/>
      <w:szCs w:val="22"/>
    </w:rPr>
  </w:style>
  <w:style w:type="numbering" w:customStyle="1" w:styleId="NoList31">
    <w:name w:val="No List31"/>
    <w:next w:val="NoList"/>
    <w:uiPriority w:val="99"/>
    <w:semiHidden/>
    <w:unhideWhenUsed/>
    <w:rsid w:val="002C207B"/>
  </w:style>
  <w:style w:type="numbering" w:customStyle="1" w:styleId="NoList121">
    <w:name w:val="No List121"/>
    <w:next w:val="NoList"/>
    <w:uiPriority w:val="99"/>
    <w:semiHidden/>
    <w:unhideWhenUsed/>
    <w:rsid w:val="002C207B"/>
  </w:style>
  <w:style w:type="numbering" w:customStyle="1" w:styleId="NoList1121">
    <w:name w:val="No List1121"/>
    <w:next w:val="NoList"/>
    <w:uiPriority w:val="99"/>
    <w:semiHidden/>
    <w:unhideWhenUsed/>
    <w:rsid w:val="002C207B"/>
  </w:style>
  <w:style w:type="numbering" w:customStyle="1" w:styleId="NoList11121">
    <w:name w:val="No List11121"/>
    <w:next w:val="NoList"/>
    <w:uiPriority w:val="99"/>
    <w:semiHidden/>
    <w:unhideWhenUsed/>
    <w:rsid w:val="002C207B"/>
  </w:style>
  <w:style w:type="numbering" w:customStyle="1" w:styleId="NoList11112">
    <w:name w:val="No List11112"/>
    <w:next w:val="NoList"/>
    <w:uiPriority w:val="99"/>
    <w:semiHidden/>
    <w:unhideWhenUsed/>
    <w:rsid w:val="002C207B"/>
  </w:style>
  <w:style w:type="numbering" w:customStyle="1" w:styleId="NoList211">
    <w:name w:val="No List211"/>
    <w:next w:val="NoList"/>
    <w:uiPriority w:val="99"/>
    <w:semiHidden/>
    <w:unhideWhenUsed/>
    <w:rsid w:val="002C207B"/>
  </w:style>
  <w:style w:type="numbering" w:customStyle="1" w:styleId="NoList1111111">
    <w:name w:val="No List1111111"/>
    <w:next w:val="NoList"/>
    <w:uiPriority w:val="99"/>
    <w:semiHidden/>
    <w:unhideWhenUsed/>
    <w:rsid w:val="002C207B"/>
  </w:style>
  <w:style w:type="numbering" w:customStyle="1" w:styleId="NoList311">
    <w:name w:val="No List311"/>
    <w:next w:val="NoList"/>
    <w:uiPriority w:val="99"/>
    <w:semiHidden/>
    <w:unhideWhenUsed/>
    <w:rsid w:val="002C207B"/>
  </w:style>
  <w:style w:type="numbering" w:customStyle="1" w:styleId="NoList1211">
    <w:name w:val="No List1211"/>
    <w:next w:val="NoList"/>
    <w:uiPriority w:val="99"/>
    <w:semiHidden/>
    <w:unhideWhenUsed/>
    <w:rsid w:val="002C207B"/>
  </w:style>
  <w:style w:type="numbering" w:customStyle="1" w:styleId="NoList11211">
    <w:name w:val="No List11211"/>
    <w:next w:val="NoList"/>
    <w:uiPriority w:val="99"/>
    <w:semiHidden/>
    <w:unhideWhenUsed/>
    <w:rsid w:val="002C207B"/>
  </w:style>
  <w:style w:type="numbering" w:customStyle="1" w:styleId="NoList2111">
    <w:name w:val="No List2111"/>
    <w:next w:val="NoList"/>
    <w:uiPriority w:val="99"/>
    <w:semiHidden/>
    <w:unhideWhenUsed/>
    <w:rsid w:val="002C207B"/>
  </w:style>
  <w:style w:type="numbering" w:customStyle="1" w:styleId="NoList111211">
    <w:name w:val="No List111211"/>
    <w:next w:val="NoList"/>
    <w:uiPriority w:val="99"/>
    <w:semiHidden/>
    <w:unhideWhenUsed/>
    <w:rsid w:val="002C207B"/>
  </w:style>
  <w:style w:type="numbering" w:customStyle="1" w:styleId="NoList111121">
    <w:name w:val="No List111121"/>
    <w:next w:val="NoList"/>
    <w:uiPriority w:val="99"/>
    <w:semiHidden/>
    <w:unhideWhenUsed/>
    <w:rsid w:val="002C207B"/>
  </w:style>
  <w:style w:type="character" w:customStyle="1" w:styleId="FollowedHyperlink1">
    <w:name w:val="FollowedHyperlink1"/>
    <w:uiPriority w:val="99"/>
    <w:semiHidden/>
    <w:unhideWhenUsed/>
    <w:rsid w:val="002C207B"/>
    <w:rPr>
      <w:color w:val="800080"/>
      <w:u w:val="single"/>
    </w:rPr>
  </w:style>
  <w:style w:type="character" w:customStyle="1" w:styleId="c97">
    <w:name w:val="c97"/>
    <w:basedOn w:val="DefaultParagraphFont"/>
    <w:rsid w:val="00A03F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96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eader" Target="header5.xml"/><Relationship Id="rId39" Type="http://schemas.openxmlformats.org/officeDocument/2006/relationships/fontTable" Target="fontTable.xml"/><Relationship Id="rId21" Type="http://schemas.openxmlformats.org/officeDocument/2006/relationships/image" Target="media/image4.emf"/><Relationship Id="rId34"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5.xml"/><Relationship Id="rId25" Type="http://schemas.openxmlformats.org/officeDocument/2006/relationships/header" Target="header4.xml"/><Relationship Id="rId33" Type="http://schemas.openxmlformats.org/officeDocument/2006/relationships/header" Target="header8.xml"/><Relationship Id="rId38"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3.emf"/><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7.emf"/><Relationship Id="rId32" Type="http://schemas.openxmlformats.org/officeDocument/2006/relationships/header" Target="header7.xml"/><Relationship Id="rId37" Type="http://schemas.openxmlformats.org/officeDocument/2006/relationships/header" Target="header10.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6.emf"/><Relationship Id="rId28" Type="http://schemas.openxmlformats.org/officeDocument/2006/relationships/image" Target="media/image8.emf"/><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2.emf"/><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 Id="rId22" Type="http://schemas.openxmlformats.org/officeDocument/2006/relationships/image" Target="media/image5.emf"/><Relationship Id="rId27" Type="http://schemas.openxmlformats.org/officeDocument/2006/relationships/header" Target="header6.xml"/><Relationship Id="rId30" Type="http://schemas.openxmlformats.org/officeDocument/2006/relationships/image" Target="media/image10.emf"/><Relationship Id="rId35" Type="http://schemas.openxmlformats.org/officeDocument/2006/relationships/footer" Target="footer7.xml"/><Relationship Id="rId8" Type="http://schemas.openxmlformats.org/officeDocument/2006/relationships/image" Target="media/image1.wmf"/><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3" Type="http://schemas.openxmlformats.org/officeDocument/2006/relationships/hyperlink" Target="http://www.ssa.gov" TargetMode="External"/><Relationship Id="rId2" Type="http://schemas.openxmlformats.org/officeDocument/2006/relationships/hyperlink" Target="http://www.economy.com" TargetMode="External"/><Relationship Id="rId1" Type="http://schemas.openxmlformats.org/officeDocument/2006/relationships/hyperlink" Target="https://www.fitchratings.com/research/corporate-finance/fitch-affirms-el-paso-electric-idr-at-bbb-outlook-stable-25-05-20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AAD35-B808-45F3-8763-052B20D23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85</Pages>
  <Words>18270</Words>
  <Characters>104145</Characters>
  <Application>Microsoft Office Word</Application>
  <DocSecurity>0</DocSecurity>
  <Lines>867</Lines>
  <Paragraphs>244</Paragraphs>
  <ScaleCrop>false</ScaleCrop>
  <HeadingPairs>
    <vt:vector size="4" baseType="variant">
      <vt:variant>
        <vt:lpstr>Title</vt:lpstr>
      </vt:variant>
      <vt:variant>
        <vt:i4>1</vt:i4>
      </vt:variant>
      <vt:variant>
        <vt:lpstr/>
      </vt:variant>
      <vt:variant>
        <vt:i4>1</vt:i4>
      </vt:variant>
    </vt:vector>
  </HeadingPairs>
  <TitlesOfParts>
    <vt:vector size="2" baseType="lpstr">
      <vt:lpstr/>
      <vt:lpstr/>
    </vt:vector>
  </TitlesOfParts>
  <Company/>
  <LinksUpToDate>false</LinksUpToDate>
  <CharactersWithSpaces>122171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Wilhelms, Sally</dc:creator>
  <cp:lastModifiedBy>Michael P. Gorman</cp:lastModifiedBy>
  <cp:revision>7</cp:revision>
  <cp:lastPrinted>2021-10-22T14:37:00Z</cp:lastPrinted>
  <dcterms:created xsi:type="dcterms:W3CDTF">2021-10-22T15:35:00Z</dcterms:created>
  <dcterms:modified xsi:type="dcterms:W3CDTF">2021-10-22T16:59:00Z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Local">
    <vt:bool>true</vt:bool>
  </property>
</Properties>
</file>